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982" w:rsidRDefault="002A3841" w:rsidP="00F1044C">
      <w:pPr>
        <w:jc w:val="center"/>
        <w:rPr>
          <w:rFonts w:ascii="Times New Roman" w:hAnsi="Times New Roman" w:cs="Times New Roman"/>
          <w:b/>
        </w:rPr>
      </w:pPr>
      <w:r>
        <w:rPr>
          <w:rFonts w:ascii="Times New Roman" w:hAnsi="Times New Roman" w:cs="Times New Roman"/>
          <w:b/>
        </w:rPr>
        <w:t>Pupil Premium 20</w:t>
      </w:r>
      <w:r w:rsidR="00926410">
        <w:rPr>
          <w:rFonts w:ascii="Times New Roman" w:hAnsi="Times New Roman" w:cs="Times New Roman"/>
          <w:b/>
        </w:rPr>
        <w:t>2</w:t>
      </w:r>
      <w:r w:rsidR="00417772">
        <w:rPr>
          <w:rFonts w:ascii="Times New Roman" w:hAnsi="Times New Roman" w:cs="Times New Roman"/>
          <w:b/>
        </w:rPr>
        <w:t>3</w:t>
      </w:r>
      <w:r>
        <w:rPr>
          <w:rFonts w:ascii="Times New Roman" w:hAnsi="Times New Roman" w:cs="Times New Roman"/>
          <w:b/>
        </w:rPr>
        <w:t>- 202</w:t>
      </w:r>
      <w:r w:rsidR="00417772">
        <w:rPr>
          <w:rFonts w:ascii="Times New Roman" w:hAnsi="Times New Roman" w:cs="Times New Roman"/>
          <w:b/>
        </w:rPr>
        <w:t>4</w:t>
      </w:r>
    </w:p>
    <w:p w:rsidR="007D105B" w:rsidRPr="00F1044C" w:rsidRDefault="007D105B" w:rsidP="007D105B">
      <w:pPr>
        <w:rPr>
          <w:rFonts w:ascii="Times New Roman" w:hAnsi="Times New Roman" w:cs="Times New Roman"/>
          <w:b/>
        </w:rPr>
      </w:pPr>
      <w:r>
        <w:rPr>
          <w:rFonts w:ascii="Times New Roman" w:hAnsi="Times New Roman" w:cs="Times New Roman"/>
          <w:b/>
        </w:rPr>
        <w:t>Introduction:</w:t>
      </w:r>
    </w:p>
    <w:p w:rsidR="00F1044C" w:rsidRDefault="00F1044C" w:rsidP="00F1044C">
      <w:pPr>
        <w:jc w:val="both"/>
        <w:rPr>
          <w:rFonts w:ascii="Times New Roman" w:hAnsi="Times New Roman" w:cs="Times New Roman"/>
        </w:rPr>
      </w:pPr>
      <w:r w:rsidRPr="00F1044C">
        <w:rPr>
          <w:rFonts w:ascii="Times New Roman" w:hAnsi="Times New Roman" w:cs="Times New Roman"/>
        </w:rPr>
        <w:t>A Pupil Premium Grant (PPG) is received by all schools for those children who c</w:t>
      </w:r>
      <w:r w:rsidR="00956211">
        <w:rPr>
          <w:rFonts w:ascii="Times New Roman" w:hAnsi="Times New Roman" w:cs="Times New Roman"/>
        </w:rPr>
        <w:t xml:space="preserve">laim free school meals (FSM). </w:t>
      </w:r>
      <w:r w:rsidRPr="00F1044C">
        <w:rPr>
          <w:rFonts w:ascii="Times New Roman" w:hAnsi="Times New Roman" w:cs="Times New Roman"/>
        </w:rPr>
        <w:t xml:space="preserve"> </w:t>
      </w:r>
      <w:r w:rsidRPr="00EC4F45">
        <w:rPr>
          <w:rFonts w:ascii="Times New Roman" w:hAnsi="Times New Roman" w:cs="Times New Roman"/>
        </w:rPr>
        <w:t>William Cassidi</w:t>
      </w:r>
      <w:r w:rsidR="00AF1E0A" w:rsidRPr="00EC4F45">
        <w:rPr>
          <w:rFonts w:ascii="Times New Roman" w:hAnsi="Times New Roman" w:cs="Times New Roman"/>
        </w:rPr>
        <w:t xml:space="preserve"> received a PPG</w:t>
      </w:r>
      <w:r w:rsidR="00D91CAF" w:rsidRPr="00EC4F45">
        <w:rPr>
          <w:rFonts w:ascii="Times New Roman" w:hAnsi="Times New Roman" w:cs="Times New Roman"/>
        </w:rPr>
        <w:t xml:space="preserve"> for </w:t>
      </w:r>
      <w:r w:rsidR="00D91CAF" w:rsidRPr="004C25ED">
        <w:rPr>
          <w:rFonts w:ascii="Times New Roman" w:hAnsi="Times New Roman" w:cs="Times New Roman"/>
        </w:rPr>
        <w:t>3</w:t>
      </w:r>
      <w:r w:rsidR="00417772">
        <w:rPr>
          <w:rFonts w:ascii="Times New Roman" w:hAnsi="Times New Roman" w:cs="Times New Roman"/>
        </w:rPr>
        <w:t>9</w:t>
      </w:r>
      <w:r w:rsidR="00D91CAF" w:rsidRPr="004C25ED">
        <w:rPr>
          <w:rFonts w:ascii="Times New Roman" w:hAnsi="Times New Roman" w:cs="Times New Roman"/>
        </w:rPr>
        <w:t xml:space="preserve"> children, a total of £</w:t>
      </w:r>
      <w:r w:rsidR="00417772">
        <w:rPr>
          <w:rFonts w:ascii="Times New Roman" w:hAnsi="Times New Roman" w:cs="Times New Roman"/>
        </w:rPr>
        <w:t>56</w:t>
      </w:r>
      <w:r w:rsidR="00D91CAF" w:rsidRPr="004C25ED">
        <w:rPr>
          <w:rFonts w:ascii="Times New Roman" w:hAnsi="Times New Roman" w:cs="Times New Roman"/>
        </w:rPr>
        <w:t>,</w:t>
      </w:r>
      <w:r w:rsidR="004C25ED" w:rsidRPr="004C25ED">
        <w:rPr>
          <w:rFonts w:ascii="Times New Roman" w:hAnsi="Times New Roman" w:cs="Times New Roman"/>
        </w:rPr>
        <w:t>7</w:t>
      </w:r>
      <w:r w:rsidR="00417772">
        <w:rPr>
          <w:rFonts w:ascii="Times New Roman" w:hAnsi="Times New Roman" w:cs="Times New Roman"/>
        </w:rPr>
        <w:t>45</w:t>
      </w:r>
      <w:r w:rsidR="002A3841" w:rsidRPr="004C25ED">
        <w:rPr>
          <w:rFonts w:ascii="Times New Roman" w:hAnsi="Times New Roman" w:cs="Times New Roman"/>
        </w:rPr>
        <w:t xml:space="preserve"> in our 20</w:t>
      </w:r>
      <w:r w:rsidR="00926410" w:rsidRPr="004C25ED">
        <w:rPr>
          <w:rFonts w:ascii="Times New Roman" w:hAnsi="Times New Roman" w:cs="Times New Roman"/>
        </w:rPr>
        <w:t>2</w:t>
      </w:r>
      <w:r w:rsidR="00417772">
        <w:rPr>
          <w:rFonts w:ascii="Times New Roman" w:hAnsi="Times New Roman" w:cs="Times New Roman"/>
        </w:rPr>
        <w:t>3</w:t>
      </w:r>
      <w:r w:rsidR="002A3841" w:rsidRPr="004C25ED">
        <w:rPr>
          <w:rFonts w:ascii="Times New Roman" w:hAnsi="Times New Roman" w:cs="Times New Roman"/>
        </w:rPr>
        <w:t xml:space="preserve"> – 202</w:t>
      </w:r>
      <w:r w:rsidR="00417772">
        <w:rPr>
          <w:rFonts w:ascii="Times New Roman" w:hAnsi="Times New Roman" w:cs="Times New Roman"/>
        </w:rPr>
        <w:t>4</w:t>
      </w:r>
      <w:r w:rsidR="00956211" w:rsidRPr="004C25ED">
        <w:rPr>
          <w:rFonts w:ascii="Times New Roman" w:hAnsi="Times New Roman" w:cs="Times New Roman"/>
        </w:rPr>
        <w:t xml:space="preserve"> </w:t>
      </w:r>
      <w:r w:rsidR="00956211">
        <w:rPr>
          <w:rFonts w:ascii="Times New Roman" w:hAnsi="Times New Roman" w:cs="Times New Roman"/>
        </w:rPr>
        <w:t>budget</w:t>
      </w:r>
      <w:r w:rsidRPr="00F1044C">
        <w:rPr>
          <w:rFonts w:ascii="Times New Roman" w:hAnsi="Times New Roman" w:cs="Times New Roman"/>
        </w:rPr>
        <w:t>.</w:t>
      </w:r>
      <w:r w:rsidR="00FD39B0">
        <w:rPr>
          <w:rFonts w:ascii="Times New Roman" w:hAnsi="Times New Roman" w:cs="Times New Roman"/>
        </w:rPr>
        <w:t xml:space="preserve"> In June 2023 43 pupils were entitled to FSM.</w:t>
      </w:r>
      <w:r w:rsidRPr="00F1044C">
        <w:rPr>
          <w:rFonts w:ascii="Times New Roman" w:hAnsi="Times New Roman" w:cs="Times New Roman"/>
        </w:rPr>
        <w:t xml:space="preserve"> In line with our Pupil Premium Policy funds were allocated to facilitate access to education and the curriculum, provide additional teaching and learning opportunities and additional support and intervention. Our aim is to narrow the </w:t>
      </w:r>
      <w:r w:rsidR="00956211">
        <w:rPr>
          <w:rFonts w:ascii="Times New Roman" w:hAnsi="Times New Roman" w:cs="Times New Roman"/>
        </w:rPr>
        <w:t xml:space="preserve">attainment </w:t>
      </w:r>
      <w:r w:rsidRPr="00F1044C">
        <w:rPr>
          <w:rFonts w:ascii="Times New Roman" w:hAnsi="Times New Roman" w:cs="Times New Roman"/>
        </w:rPr>
        <w:t>gap between Pupil Premium pupils</w:t>
      </w:r>
      <w:r w:rsidR="007D772C">
        <w:rPr>
          <w:rFonts w:ascii="Times New Roman" w:hAnsi="Times New Roman" w:cs="Times New Roman"/>
        </w:rPr>
        <w:t>, disadvantaged pupils</w:t>
      </w:r>
      <w:r w:rsidRPr="00F1044C">
        <w:rPr>
          <w:rFonts w:ascii="Times New Roman" w:hAnsi="Times New Roman" w:cs="Times New Roman"/>
        </w:rPr>
        <w:t xml:space="preserve"> and their peers.</w:t>
      </w:r>
      <w:r w:rsidR="007D772C">
        <w:rPr>
          <w:rFonts w:ascii="Times New Roman" w:hAnsi="Times New Roman" w:cs="Times New Roman"/>
        </w:rPr>
        <w:t xml:space="preserve"> Provision is not determined by the receipt of additional funding, meeting the needs of pupils is paramount in all the school undertakes.</w:t>
      </w:r>
    </w:p>
    <w:p w:rsidR="007D105B" w:rsidRPr="007D105B" w:rsidRDefault="007D105B" w:rsidP="00F1044C">
      <w:pPr>
        <w:jc w:val="both"/>
        <w:rPr>
          <w:rFonts w:ascii="Times New Roman" w:hAnsi="Times New Roman" w:cs="Times New Roman"/>
          <w:b/>
        </w:rPr>
      </w:pPr>
      <w:r w:rsidRPr="007D105B">
        <w:rPr>
          <w:rFonts w:ascii="Times New Roman" w:hAnsi="Times New Roman" w:cs="Times New Roman"/>
          <w:b/>
        </w:rPr>
        <w:t>Prior Provision:</w:t>
      </w:r>
    </w:p>
    <w:p w:rsidR="0038235A" w:rsidRPr="000459FE" w:rsidRDefault="002A3841" w:rsidP="002A5A46">
      <w:pPr>
        <w:jc w:val="both"/>
        <w:rPr>
          <w:rFonts w:ascii="Times New Roman" w:hAnsi="Times New Roman" w:cs="Times New Roman"/>
        </w:rPr>
      </w:pPr>
      <w:r w:rsidRPr="00C90D71">
        <w:rPr>
          <w:rFonts w:ascii="Times New Roman" w:hAnsi="Times New Roman" w:cs="Times New Roman"/>
        </w:rPr>
        <w:t>In 20</w:t>
      </w:r>
      <w:r w:rsidR="00C90D71" w:rsidRPr="00C90D71">
        <w:rPr>
          <w:rFonts w:ascii="Times New Roman" w:hAnsi="Times New Roman" w:cs="Times New Roman"/>
        </w:rPr>
        <w:t>2</w:t>
      </w:r>
      <w:r w:rsidR="00820044">
        <w:rPr>
          <w:rFonts w:ascii="Times New Roman" w:hAnsi="Times New Roman" w:cs="Times New Roman"/>
        </w:rPr>
        <w:t>2</w:t>
      </w:r>
      <w:r w:rsidR="002A5A46" w:rsidRPr="00C90D71">
        <w:rPr>
          <w:rFonts w:ascii="Times New Roman" w:hAnsi="Times New Roman" w:cs="Times New Roman"/>
        </w:rPr>
        <w:t>-20</w:t>
      </w:r>
      <w:r w:rsidR="00926410" w:rsidRPr="00C90D71">
        <w:rPr>
          <w:rFonts w:ascii="Times New Roman" w:hAnsi="Times New Roman" w:cs="Times New Roman"/>
        </w:rPr>
        <w:t>2</w:t>
      </w:r>
      <w:r w:rsidR="00820044">
        <w:rPr>
          <w:rFonts w:ascii="Times New Roman" w:hAnsi="Times New Roman" w:cs="Times New Roman"/>
        </w:rPr>
        <w:t>3</w:t>
      </w:r>
      <w:r w:rsidR="002A5A46" w:rsidRPr="00C90D71">
        <w:rPr>
          <w:rFonts w:ascii="Times New Roman" w:hAnsi="Times New Roman" w:cs="Times New Roman"/>
        </w:rPr>
        <w:t xml:space="preserve"> funds were allocated to IT, music tuition in Year</w:t>
      </w:r>
      <w:r w:rsidRPr="00C90D71">
        <w:rPr>
          <w:rFonts w:ascii="Times New Roman" w:hAnsi="Times New Roman" w:cs="Times New Roman"/>
        </w:rPr>
        <w:t xml:space="preserve">s 3, 4 and </w:t>
      </w:r>
      <w:r w:rsidR="002A5A46" w:rsidRPr="00C90D71">
        <w:rPr>
          <w:rFonts w:ascii="Times New Roman" w:hAnsi="Times New Roman" w:cs="Times New Roman"/>
        </w:rPr>
        <w:t xml:space="preserve">5, a theatre production for the whole school and the employment of an HLTA. </w:t>
      </w:r>
      <w:r w:rsidR="00956211" w:rsidRPr="00C90D71">
        <w:rPr>
          <w:rFonts w:ascii="Times New Roman" w:hAnsi="Times New Roman" w:cs="Times New Roman"/>
        </w:rPr>
        <w:t>IT allocation enabled all children to have access to individual computers within our IT suite and individual IPads within the classroom ensuring all pupils are able to access tech</w:t>
      </w:r>
      <w:r w:rsidR="005739D9" w:rsidRPr="00C90D71">
        <w:rPr>
          <w:rFonts w:ascii="Times New Roman" w:hAnsi="Times New Roman" w:cs="Times New Roman"/>
        </w:rPr>
        <w:t>nology to support learning. HLTA</w:t>
      </w:r>
      <w:r w:rsidR="00956211" w:rsidRPr="00C90D71">
        <w:rPr>
          <w:rFonts w:ascii="Times New Roman" w:hAnsi="Times New Roman" w:cs="Times New Roman"/>
        </w:rPr>
        <w:t xml:space="preserve"> support at lunchtimes and after school enabled those pupils without internet access at home to undertake learning activities, research and to complete home learning tasks</w:t>
      </w:r>
      <w:r w:rsidR="00956211" w:rsidRPr="000459FE">
        <w:rPr>
          <w:rFonts w:ascii="Times New Roman" w:hAnsi="Times New Roman" w:cs="Times New Roman"/>
        </w:rPr>
        <w:t xml:space="preserve">. </w:t>
      </w:r>
      <w:r w:rsidR="00C90D71" w:rsidRPr="000459FE">
        <w:rPr>
          <w:rFonts w:ascii="Times New Roman" w:hAnsi="Times New Roman" w:cs="Times New Roman"/>
        </w:rPr>
        <w:t>In addition, during school closure the HLTA provided</w:t>
      </w:r>
      <w:r w:rsidR="000459FE" w:rsidRPr="000459FE">
        <w:rPr>
          <w:rFonts w:ascii="Times New Roman" w:hAnsi="Times New Roman" w:cs="Times New Roman"/>
        </w:rPr>
        <w:t xml:space="preserve"> </w:t>
      </w:r>
      <w:r w:rsidR="00C90D71" w:rsidRPr="000459FE">
        <w:rPr>
          <w:rFonts w:ascii="Times New Roman" w:hAnsi="Times New Roman" w:cs="Times New Roman"/>
        </w:rPr>
        <w:t xml:space="preserve">support for home learning, assisting with IT access and lending of </w:t>
      </w:r>
      <w:proofErr w:type="spellStart"/>
      <w:r w:rsidR="00C90D71" w:rsidRPr="000459FE">
        <w:rPr>
          <w:rFonts w:ascii="Times New Roman" w:hAnsi="Times New Roman" w:cs="Times New Roman"/>
        </w:rPr>
        <w:t>IPads</w:t>
      </w:r>
      <w:proofErr w:type="spellEnd"/>
      <w:r w:rsidR="00C90D71" w:rsidRPr="000459FE">
        <w:rPr>
          <w:rFonts w:ascii="Times New Roman" w:hAnsi="Times New Roman" w:cs="Times New Roman"/>
        </w:rPr>
        <w:t xml:space="preserve"> and preparing and distributing resources to enable equality of access. </w:t>
      </w:r>
      <w:r w:rsidR="00956211" w:rsidRPr="000459FE">
        <w:rPr>
          <w:rFonts w:ascii="Times New Roman" w:hAnsi="Times New Roman" w:cs="Times New Roman"/>
        </w:rPr>
        <w:t xml:space="preserve">Provision was also made available for parents to </w:t>
      </w:r>
      <w:r w:rsidR="00C90D71" w:rsidRPr="000459FE">
        <w:rPr>
          <w:rFonts w:ascii="Times New Roman" w:hAnsi="Times New Roman" w:cs="Times New Roman"/>
        </w:rPr>
        <w:t xml:space="preserve">contact school </w:t>
      </w:r>
      <w:r w:rsidR="00956211" w:rsidRPr="000459FE">
        <w:rPr>
          <w:rFonts w:ascii="Times New Roman" w:hAnsi="Times New Roman" w:cs="Times New Roman"/>
        </w:rPr>
        <w:t xml:space="preserve">support </w:t>
      </w:r>
      <w:r w:rsidR="00C90D71" w:rsidRPr="000459FE">
        <w:rPr>
          <w:rFonts w:ascii="Times New Roman" w:hAnsi="Times New Roman" w:cs="Times New Roman"/>
        </w:rPr>
        <w:t xml:space="preserve">for IT, lessons and resources to support </w:t>
      </w:r>
      <w:r w:rsidR="00956211" w:rsidRPr="000459FE">
        <w:rPr>
          <w:rFonts w:ascii="Times New Roman" w:hAnsi="Times New Roman" w:cs="Times New Roman"/>
        </w:rPr>
        <w:t>their children’s learning</w:t>
      </w:r>
      <w:r w:rsidR="00C90D71" w:rsidRPr="000459FE">
        <w:rPr>
          <w:rFonts w:ascii="Times New Roman" w:hAnsi="Times New Roman" w:cs="Times New Roman"/>
        </w:rPr>
        <w:t xml:space="preserve"> throughout school closures</w:t>
      </w:r>
      <w:r w:rsidR="00956211" w:rsidRPr="000459FE">
        <w:rPr>
          <w:rFonts w:ascii="Times New Roman" w:hAnsi="Times New Roman" w:cs="Times New Roman"/>
        </w:rPr>
        <w:t xml:space="preserve">. E-Safety also played a prominent role at </w:t>
      </w:r>
      <w:r w:rsidR="00C90D71" w:rsidRPr="000459FE">
        <w:rPr>
          <w:rFonts w:ascii="Times New Roman" w:hAnsi="Times New Roman" w:cs="Times New Roman"/>
        </w:rPr>
        <w:t>point of contact</w:t>
      </w:r>
      <w:r w:rsidR="00956211" w:rsidRPr="000459FE">
        <w:rPr>
          <w:rFonts w:ascii="Times New Roman" w:hAnsi="Times New Roman" w:cs="Times New Roman"/>
        </w:rPr>
        <w:t xml:space="preserve"> as well as within the curriculum</w:t>
      </w:r>
      <w:r w:rsidR="00C90D71" w:rsidRPr="000459FE">
        <w:rPr>
          <w:rFonts w:ascii="Times New Roman" w:hAnsi="Times New Roman" w:cs="Times New Roman"/>
        </w:rPr>
        <w:t xml:space="preserve"> including </w:t>
      </w:r>
      <w:r w:rsidR="000459FE" w:rsidRPr="000459FE">
        <w:rPr>
          <w:rFonts w:ascii="Times New Roman" w:hAnsi="Times New Roman" w:cs="Times New Roman"/>
        </w:rPr>
        <w:t>emotional well-being</w:t>
      </w:r>
      <w:r w:rsidR="00956211" w:rsidRPr="000459FE">
        <w:rPr>
          <w:rFonts w:ascii="Times New Roman" w:hAnsi="Times New Roman" w:cs="Times New Roman"/>
        </w:rPr>
        <w:t>.</w:t>
      </w:r>
      <w:r w:rsidR="001E5D95" w:rsidRPr="000459FE">
        <w:rPr>
          <w:rFonts w:ascii="Times New Roman" w:hAnsi="Times New Roman" w:cs="Times New Roman"/>
        </w:rPr>
        <w:t xml:space="preserve"> Music tuition gave</w:t>
      </w:r>
      <w:r w:rsidR="002A5A46" w:rsidRPr="000459FE">
        <w:rPr>
          <w:rFonts w:ascii="Times New Roman" w:hAnsi="Times New Roman" w:cs="Times New Roman"/>
        </w:rPr>
        <w:t xml:space="preserve"> children </w:t>
      </w:r>
      <w:r w:rsidR="001E5D95" w:rsidRPr="000459FE">
        <w:rPr>
          <w:rFonts w:ascii="Times New Roman" w:hAnsi="Times New Roman" w:cs="Times New Roman"/>
        </w:rPr>
        <w:t xml:space="preserve">increased opportunities to access life experiences and </w:t>
      </w:r>
      <w:r w:rsidR="002A5A46" w:rsidRPr="000459FE">
        <w:rPr>
          <w:rFonts w:ascii="Times New Roman" w:hAnsi="Times New Roman" w:cs="Times New Roman"/>
        </w:rPr>
        <w:t xml:space="preserve">a sense of achievement </w:t>
      </w:r>
      <w:r w:rsidR="001E5D95" w:rsidRPr="000459FE">
        <w:rPr>
          <w:rFonts w:ascii="Times New Roman" w:hAnsi="Times New Roman" w:cs="Times New Roman"/>
        </w:rPr>
        <w:t>as well as raising</w:t>
      </w:r>
      <w:r w:rsidR="00BE59D4" w:rsidRPr="000459FE">
        <w:rPr>
          <w:rFonts w:ascii="Times New Roman" w:hAnsi="Times New Roman" w:cs="Times New Roman"/>
        </w:rPr>
        <w:t xml:space="preserve"> self-esteem</w:t>
      </w:r>
      <w:r w:rsidR="000459FE" w:rsidRPr="000459FE">
        <w:rPr>
          <w:rFonts w:ascii="Times New Roman" w:hAnsi="Times New Roman" w:cs="Times New Roman"/>
        </w:rPr>
        <w:t xml:space="preserve"> and confidence after closure</w:t>
      </w:r>
      <w:r w:rsidR="001E5D95" w:rsidRPr="000459FE">
        <w:rPr>
          <w:rFonts w:ascii="Times New Roman" w:hAnsi="Times New Roman" w:cs="Times New Roman"/>
        </w:rPr>
        <w:t xml:space="preserve">. </w:t>
      </w:r>
      <w:r w:rsidR="00BE59D4" w:rsidRPr="000459FE">
        <w:rPr>
          <w:rFonts w:ascii="Times New Roman" w:hAnsi="Times New Roman" w:cs="Times New Roman"/>
        </w:rPr>
        <w:t xml:space="preserve">The theatre production enabled all pupils to have the experience of a live performance which many would not be able to access due </w:t>
      </w:r>
      <w:r w:rsidR="00417772">
        <w:rPr>
          <w:rFonts w:ascii="Times New Roman" w:hAnsi="Times New Roman" w:cs="Times New Roman"/>
        </w:rPr>
        <w:t>to</w:t>
      </w:r>
      <w:r w:rsidR="00BE59D4" w:rsidRPr="000459FE">
        <w:rPr>
          <w:rFonts w:ascii="Times New Roman" w:hAnsi="Times New Roman" w:cs="Times New Roman"/>
        </w:rPr>
        <w:t xml:space="preserve"> cost and transport issues in the rural community we serve. </w:t>
      </w:r>
    </w:p>
    <w:p w:rsidR="007D105B" w:rsidRDefault="007D105B" w:rsidP="002A5A46">
      <w:pPr>
        <w:jc w:val="both"/>
        <w:rPr>
          <w:rFonts w:ascii="Times New Roman" w:hAnsi="Times New Roman" w:cs="Times New Roman"/>
          <w:b/>
        </w:rPr>
      </w:pPr>
      <w:r w:rsidRPr="007D105B">
        <w:rPr>
          <w:rFonts w:ascii="Times New Roman" w:hAnsi="Times New Roman" w:cs="Times New Roman"/>
          <w:b/>
        </w:rPr>
        <w:t>Current Attainment:</w:t>
      </w:r>
    </w:p>
    <w:p w:rsidR="00E23237" w:rsidRPr="00FA110F" w:rsidRDefault="00E23237" w:rsidP="00115423">
      <w:pPr>
        <w:jc w:val="both"/>
        <w:rPr>
          <w:rFonts w:ascii="Times New Roman" w:hAnsi="Times New Roman" w:cs="Times New Roman"/>
        </w:rPr>
      </w:pPr>
      <w:r w:rsidRPr="00FA110F">
        <w:rPr>
          <w:rFonts w:ascii="Times New Roman" w:hAnsi="Times New Roman" w:cs="Times New Roman"/>
        </w:rPr>
        <w:t xml:space="preserve">Please note that disadvantaged pupils </w:t>
      </w:r>
      <w:proofErr w:type="gramStart"/>
      <w:r w:rsidRPr="00FA110F">
        <w:rPr>
          <w:rFonts w:ascii="Times New Roman" w:hAnsi="Times New Roman" w:cs="Times New Roman"/>
        </w:rPr>
        <w:t>includes</w:t>
      </w:r>
      <w:proofErr w:type="gramEnd"/>
      <w:r w:rsidRPr="00FA110F">
        <w:rPr>
          <w:rFonts w:ascii="Times New Roman" w:hAnsi="Times New Roman" w:cs="Times New Roman"/>
        </w:rPr>
        <w:t xml:space="preserve"> children who are Pupil Premium, </w:t>
      </w:r>
      <w:r w:rsidR="00303BAA" w:rsidRPr="00FA110F">
        <w:rPr>
          <w:rFonts w:ascii="Times New Roman" w:hAnsi="Times New Roman" w:cs="Times New Roman"/>
        </w:rPr>
        <w:t xml:space="preserve">adopted and those with Special Educational Needs, each disadvantaged pupil represents </w:t>
      </w:r>
      <w:r w:rsidR="00FD39B0">
        <w:rPr>
          <w:rFonts w:ascii="Times New Roman" w:hAnsi="Times New Roman" w:cs="Times New Roman"/>
        </w:rPr>
        <w:t>6</w:t>
      </w:r>
      <w:r w:rsidR="005876E6">
        <w:rPr>
          <w:rFonts w:ascii="Times New Roman" w:hAnsi="Times New Roman" w:cs="Times New Roman"/>
        </w:rPr>
        <w:t>% in the Foundation Stage, 20</w:t>
      </w:r>
      <w:r w:rsidR="00FB50A8">
        <w:rPr>
          <w:rFonts w:ascii="Times New Roman" w:hAnsi="Times New Roman" w:cs="Times New Roman"/>
        </w:rPr>
        <w:t xml:space="preserve">% in Year 1, </w:t>
      </w:r>
      <w:r w:rsidR="00FE1CF2">
        <w:rPr>
          <w:rFonts w:ascii="Times New Roman" w:hAnsi="Times New Roman" w:cs="Times New Roman"/>
        </w:rPr>
        <w:t>2</w:t>
      </w:r>
      <w:r w:rsidR="00FD39B0">
        <w:rPr>
          <w:rFonts w:ascii="Times New Roman" w:hAnsi="Times New Roman" w:cs="Times New Roman"/>
        </w:rPr>
        <w:t>4</w:t>
      </w:r>
      <w:r w:rsidR="00FE1CF2">
        <w:rPr>
          <w:rFonts w:ascii="Times New Roman" w:hAnsi="Times New Roman" w:cs="Times New Roman"/>
        </w:rPr>
        <w:t xml:space="preserve">% at Key Stage One and </w:t>
      </w:r>
      <w:r w:rsidR="00FD39B0">
        <w:rPr>
          <w:rFonts w:ascii="Times New Roman" w:hAnsi="Times New Roman" w:cs="Times New Roman"/>
        </w:rPr>
        <w:t>39</w:t>
      </w:r>
      <w:r w:rsidR="00303BAA" w:rsidRPr="00FA110F">
        <w:rPr>
          <w:rFonts w:ascii="Times New Roman" w:hAnsi="Times New Roman" w:cs="Times New Roman"/>
        </w:rPr>
        <w:t>% at Key Stage Two.</w:t>
      </w:r>
    </w:p>
    <w:p w:rsidR="00FB50A8" w:rsidRDefault="00FB50A8" w:rsidP="00115423">
      <w:pPr>
        <w:pStyle w:val="ListParagraph"/>
        <w:numPr>
          <w:ilvl w:val="0"/>
          <w:numId w:val="2"/>
        </w:numPr>
        <w:jc w:val="both"/>
        <w:rPr>
          <w:rFonts w:ascii="Times New Roman" w:hAnsi="Times New Roman" w:cs="Times New Roman"/>
        </w:rPr>
      </w:pPr>
      <w:r>
        <w:rPr>
          <w:rFonts w:ascii="Times New Roman" w:hAnsi="Times New Roman" w:cs="Times New Roman"/>
        </w:rPr>
        <w:t>the Foundation Stage Profile indicates that disadv</w:t>
      </w:r>
      <w:r w:rsidR="00380949">
        <w:rPr>
          <w:rFonts w:ascii="Times New Roman" w:hAnsi="Times New Roman" w:cs="Times New Roman"/>
        </w:rPr>
        <w:t>antaged pupils attain well in comparison with</w:t>
      </w:r>
      <w:r>
        <w:rPr>
          <w:rFonts w:ascii="Times New Roman" w:hAnsi="Times New Roman" w:cs="Times New Roman"/>
        </w:rPr>
        <w:t xml:space="preserve"> their non</w:t>
      </w:r>
      <w:r w:rsidR="007D479A">
        <w:rPr>
          <w:rFonts w:ascii="Times New Roman" w:hAnsi="Times New Roman" w:cs="Times New Roman"/>
        </w:rPr>
        <w:t>-</w:t>
      </w:r>
      <w:r>
        <w:rPr>
          <w:rFonts w:ascii="Times New Roman" w:hAnsi="Times New Roman" w:cs="Times New Roman"/>
        </w:rPr>
        <w:t>disadvantaged peers in:</w:t>
      </w:r>
      <w:r w:rsidR="002A3841">
        <w:rPr>
          <w:rFonts w:ascii="Times New Roman" w:hAnsi="Times New Roman" w:cs="Times New Roman"/>
        </w:rPr>
        <w:t xml:space="preserve"> Prime Areas </w:t>
      </w:r>
      <w:r w:rsidR="007D479A">
        <w:rPr>
          <w:rFonts w:ascii="Times New Roman" w:hAnsi="Times New Roman" w:cs="Times New Roman"/>
        </w:rPr>
        <w:t>and</w:t>
      </w:r>
      <w:r w:rsidR="002A3841">
        <w:rPr>
          <w:rFonts w:ascii="Times New Roman" w:hAnsi="Times New Roman" w:cs="Times New Roman"/>
        </w:rPr>
        <w:t xml:space="preserve"> Specific Areas</w:t>
      </w:r>
      <w:r w:rsidR="007D772C">
        <w:rPr>
          <w:rFonts w:ascii="Times New Roman" w:hAnsi="Times New Roman" w:cs="Times New Roman"/>
        </w:rPr>
        <w:t>. As a result</w:t>
      </w:r>
      <w:r w:rsidR="007D479A">
        <w:rPr>
          <w:rFonts w:ascii="Times New Roman" w:hAnsi="Times New Roman" w:cs="Times New Roman"/>
        </w:rPr>
        <w:t>,</w:t>
      </w:r>
      <w:r w:rsidR="007D772C">
        <w:rPr>
          <w:rFonts w:ascii="Times New Roman" w:hAnsi="Times New Roman" w:cs="Times New Roman"/>
        </w:rPr>
        <w:t xml:space="preserve"> their Good Le</w:t>
      </w:r>
      <w:r w:rsidR="00380949">
        <w:rPr>
          <w:rFonts w:ascii="Times New Roman" w:hAnsi="Times New Roman" w:cs="Times New Roman"/>
        </w:rPr>
        <w:t>vel of Dev</w:t>
      </w:r>
      <w:r w:rsidR="002A3841">
        <w:rPr>
          <w:rFonts w:ascii="Times New Roman" w:hAnsi="Times New Roman" w:cs="Times New Roman"/>
        </w:rPr>
        <w:t xml:space="preserve">elopment is </w:t>
      </w:r>
      <w:r w:rsidR="007D479A">
        <w:rPr>
          <w:rFonts w:ascii="Times New Roman" w:hAnsi="Times New Roman" w:cs="Times New Roman"/>
        </w:rPr>
        <w:t>above</w:t>
      </w:r>
      <w:r w:rsidR="002679C2">
        <w:rPr>
          <w:rFonts w:ascii="Times New Roman" w:hAnsi="Times New Roman" w:cs="Times New Roman"/>
        </w:rPr>
        <w:t xml:space="preserve"> their peers (</w:t>
      </w:r>
      <w:r w:rsidR="007D479A">
        <w:rPr>
          <w:rFonts w:ascii="Times New Roman" w:hAnsi="Times New Roman" w:cs="Times New Roman"/>
        </w:rPr>
        <w:t>100</w:t>
      </w:r>
      <w:r w:rsidR="002679C2">
        <w:rPr>
          <w:rFonts w:ascii="Times New Roman" w:hAnsi="Times New Roman" w:cs="Times New Roman"/>
        </w:rPr>
        <w:t xml:space="preserve">% - </w:t>
      </w:r>
      <w:r w:rsidR="007D479A">
        <w:rPr>
          <w:rFonts w:ascii="Times New Roman" w:hAnsi="Times New Roman" w:cs="Times New Roman"/>
        </w:rPr>
        <w:t>68</w:t>
      </w:r>
      <w:r w:rsidR="007D772C">
        <w:rPr>
          <w:rFonts w:ascii="Times New Roman" w:hAnsi="Times New Roman" w:cs="Times New Roman"/>
        </w:rPr>
        <w:t>%)</w:t>
      </w:r>
      <w:r w:rsidR="002679C2">
        <w:rPr>
          <w:rFonts w:ascii="Times New Roman" w:hAnsi="Times New Roman" w:cs="Times New Roman"/>
        </w:rPr>
        <w:t xml:space="preserve">. </w:t>
      </w:r>
    </w:p>
    <w:p w:rsidR="005448A8" w:rsidRDefault="007D479A" w:rsidP="00115423">
      <w:pPr>
        <w:pStyle w:val="ListParagraph"/>
        <w:numPr>
          <w:ilvl w:val="0"/>
          <w:numId w:val="2"/>
        </w:numPr>
        <w:jc w:val="both"/>
        <w:rPr>
          <w:rFonts w:ascii="Times New Roman" w:hAnsi="Times New Roman" w:cs="Times New Roman"/>
        </w:rPr>
      </w:pPr>
      <w:r>
        <w:rPr>
          <w:rFonts w:ascii="Times New Roman" w:hAnsi="Times New Roman" w:cs="Times New Roman"/>
        </w:rPr>
        <w:t>8</w:t>
      </w:r>
      <w:r w:rsidR="002679C2">
        <w:rPr>
          <w:rFonts w:ascii="Times New Roman" w:hAnsi="Times New Roman" w:cs="Times New Roman"/>
        </w:rPr>
        <w:t>0</w:t>
      </w:r>
      <w:r w:rsidR="00DA48BA">
        <w:rPr>
          <w:rFonts w:ascii="Times New Roman" w:hAnsi="Times New Roman" w:cs="Times New Roman"/>
        </w:rPr>
        <w:t>% of</w:t>
      </w:r>
      <w:r w:rsidR="0038235A" w:rsidRPr="00115423">
        <w:rPr>
          <w:rFonts w:ascii="Times New Roman" w:hAnsi="Times New Roman" w:cs="Times New Roman"/>
        </w:rPr>
        <w:t xml:space="preserve"> </w:t>
      </w:r>
      <w:r w:rsidR="00E23237">
        <w:rPr>
          <w:rFonts w:ascii="Times New Roman" w:hAnsi="Times New Roman" w:cs="Times New Roman"/>
        </w:rPr>
        <w:t xml:space="preserve">disadvantaged </w:t>
      </w:r>
      <w:r w:rsidR="005448A8">
        <w:rPr>
          <w:rFonts w:ascii="Times New Roman" w:hAnsi="Times New Roman" w:cs="Times New Roman"/>
        </w:rPr>
        <w:t>pupils achieved</w:t>
      </w:r>
      <w:r w:rsidR="0038235A" w:rsidRPr="00115423">
        <w:rPr>
          <w:rFonts w:ascii="Times New Roman" w:hAnsi="Times New Roman" w:cs="Times New Roman"/>
        </w:rPr>
        <w:t xml:space="preserve"> the Year 1 Phonics</w:t>
      </w:r>
      <w:r w:rsidR="001E5D95" w:rsidRPr="00115423">
        <w:rPr>
          <w:rFonts w:ascii="Times New Roman" w:hAnsi="Times New Roman" w:cs="Times New Roman"/>
        </w:rPr>
        <w:t xml:space="preserve"> Screening Test</w:t>
      </w:r>
      <w:r w:rsidR="005448A8">
        <w:rPr>
          <w:rFonts w:ascii="Times New Roman" w:hAnsi="Times New Roman" w:cs="Times New Roman"/>
        </w:rPr>
        <w:t xml:space="preserve"> standard</w:t>
      </w:r>
      <w:r w:rsidR="002679C2">
        <w:rPr>
          <w:rFonts w:ascii="Times New Roman" w:hAnsi="Times New Roman" w:cs="Times New Roman"/>
        </w:rPr>
        <w:t xml:space="preserve"> compared with </w:t>
      </w:r>
      <w:r w:rsidR="00FC76B9">
        <w:rPr>
          <w:rFonts w:ascii="Times New Roman" w:hAnsi="Times New Roman" w:cs="Times New Roman"/>
        </w:rPr>
        <w:t>86</w:t>
      </w:r>
      <w:r w:rsidR="00DA48BA">
        <w:rPr>
          <w:rFonts w:ascii="Times New Roman" w:hAnsi="Times New Roman" w:cs="Times New Roman"/>
        </w:rPr>
        <w:t xml:space="preserve">% of </w:t>
      </w:r>
      <w:proofErr w:type="spellStart"/>
      <w:proofErr w:type="gramStart"/>
      <w:r w:rsidR="00DA48BA">
        <w:rPr>
          <w:rFonts w:ascii="Times New Roman" w:hAnsi="Times New Roman" w:cs="Times New Roman"/>
        </w:rPr>
        <w:t>non disadvantaged</w:t>
      </w:r>
      <w:proofErr w:type="spellEnd"/>
      <w:proofErr w:type="gramEnd"/>
      <w:r w:rsidR="00DA48BA">
        <w:rPr>
          <w:rFonts w:ascii="Times New Roman" w:hAnsi="Times New Roman" w:cs="Times New Roman"/>
        </w:rPr>
        <w:t xml:space="preserve"> pupils</w:t>
      </w:r>
    </w:p>
    <w:p w:rsidR="00E23237" w:rsidRDefault="00136386" w:rsidP="00115423">
      <w:pPr>
        <w:pStyle w:val="ListParagraph"/>
        <w:numPr>
          <w:ilvl w:val="0"/>
          <w:numId w:val="2"/>
        </w:numPr>
        <w:jc w:val="both"/>
        <w:rPr>
          <w:rFonts w:ascii="Times New Roman" w:hAnsi="Times New Roman" w:cs="Times New Roman"/>
        </w:rPr>
      </w:pPr>
      <w:r>
        <w:rPr>
          <w:rFonts w:ascii="Times New Roman" w:hAnsi="Times New Roman" w:cs="Times New Roman"/>
        </w:rPr>
        <w:t>in Year 2 overall 100</w:t>
      </w:r>
      <w:r w:rsidR="005448A8">
        <w:rPr>
          <w:rFonts w:ascii="Times New Roman" w:hAnsi="Times New Roman" w:cs="Times New Roman"/>
        </w:rPr>
        <w:t xml:space="preserve">% of disadvantaged </w:t>
      </w:r>
      <w:r>
        <w:rPr>
          <w:rFonts w:ascii="Times New Roman" w:hAnsi="Times New Roman" w:cs="Times New Roman"/>
        </w:rPr>
        <w:t xml:space="preserve">and </w:t>
      </w:r>
      <w:proofErr w:type="spellStart"/>
      <w:r>
        <w:rPr>
          <w:rFonts w:ascii="Times New Roman" w:hAnsi="Times New Roman" w:cs="Times New Roman"/>
        </w:rPr>
        <w:t>non disadvantaged</w:t>
      </w:r>
      <w:proofErr w:type="spellEnd"/>
      <w:r>
        <w:rPr>
          <w:rFonts w:ascii="Times New Roman" w:hAnsi="Times New Roman" w:cs="Times New Roman"/>
        </w:rPr>
        <w:t xml:space="preserve"> </w:t>
      </w:r>
      <w:r w:rsidR="005448A8">
        <w:rPr>
          <w:rFonts w:ascii="Times New Roman" w:hAnsi="Times New Roman" w:cs="Times New Roman"/>
        </w:rPr>
        <w:t>pupils achieved the Phonics Screening Test standard</w:t>
      </w:r>
      <w:r w:rsidR="0038235A" w:rsidRPr="00115423">
        <w:rPr>
          <w:rFonts w:ascii="Times New Roman" w:hAnsi="Times New Roman" w:cs="Times New Roman"/>
        </w:rPr>
        <w:t xml:space="preserve"> </w:t>
      </w:r>
    </w:p>
    <w:p w:rsidR="00E23237" w:rsidRDefault="0038235A" w:rsidP="00115423">
      <w:pPr>
        <w:pStyle w:val="ListParagraph"/>
        <w:numPr>
          <w:ilvl w:val="0"/>
          <w:numId w:val="2"/>
        </w:numPr>
        <w:jc w:val="both"/>
        <w:rPr>
          <w:rFonts w:ascii="Times New Roman" w:hAnsi="Times New Roman" w:cs="Times New Roman"/>
        </w:rPr>
      </w:pPr>
      <w:r w:rsidRPr="00115423">
        <w:rPr>
          <w:rFonts w:ascii="Times New Roman" w:hAnsi="Times New Roman" w:cs="Times New Roman"/>
        </w:rPr>
        <w:t xml:space="preserve">at Key Stage One </w:t>
      </w:r>
      <w:r w:rsidR="00EC4BC9">
        <w:rPr>
          <w:rFonts w:ascii="Times New Roman" w:hAnsi="Times New Roman" w:cs="Times New Roman"/>
        </w:rPr>
        <w:t>5</w:t>
      </w:r>
      <w:r w:rsidR="009D1B44">
        <w:rPr>
          <w:rFonts w:ascii="Times New Roman" w:hAnsi="Times New Roman" w:cs="Times New Roman"/>
        </w:rPr>
        <w:t>0</w:t>
      </w:r>
      <w:r w:rsidR="00E23237">
        <w:rPr>
          <w:rFonts w:ascii="Times New Roman" w:hAnsi="Times New Roman" w:cs="Times New Roman"/>
        </w:rPr>
        <w:t xml:space="preserve">% of disadvantaged pupils were working </w:t>
      </w:r>
      <w:r w:rsidR="009D1B44">
        <w:rPr>
          <w:rFonts w:ascii="Times New Roman" w:hAnsi="Times New Roman" w:cs="Times New Roman"/>
        </w:rPr>
        <w:t xml:space="preserve">at </w:t>
      </w:r>
      <w:r w:rsidR="00E23237">
        <w:rPr>
          <w:rFonts w:ascii="Times New Roman" w:hAnsi="Times New Roman" w:cs="Times New Roman"/>
        </w:rPr>
        <w:t>the E</w:t>
      </w:r>
      <w:r w:rsidR="002679C2">
        <w:rPr>
          <w:rFonts w:ascii="Times New Roman" w:hAnsi="Times New Roman" w:cs="Times New Roman"/>
        </w:rPr>
        <w:t xml:space="preserve">xpected Standard compared to </w:t>
      </w:r>
      <w:r w:rsidR="00EC4BC9">
        <w:rPr>
          <w:rFonts w:ascii="Times New Roman" w:hAnsi="Times New Roman" w:cs="Times New Roman"/>
        </w:rPr>
        <w:t>68</w:t>
      </w:r>
      <w:r w:rsidR="00E23237">
        <w:rPr>
          <w:rFonts w:ascii="Times New Roman" w:hAnsi="Times New Roman" w:cs="Times New Roman"/>
        </w:rPr>
        <w:t xml:space="preserve">% of non-disadvantaged pupils </w:t>
      </w:r>
      <w:r w:rsidR="009D1B44">
        <w:rPr>
          <w:rFonts w:ascii="Times New Roman" w:hAnsi="Times New Roman" w:cs="Times New Roman"/>
        </w:rPr>
        <w:t>in</w:t>
      </w:r>
      <w:r w:rsidR="00E23237">
        <w:rPr>
          <w:rFonts w:ascii="Times New Roman" w:hAnsi="Times New Roman" w:cs="Times New Roman"/>
        </w:rPr>
        <w:t xml:space="preserve"> </w:t>
      </w:r>
      <w:r w:rsidR="009D1B44">
        <w:rPr>
          <w:rFonts w:ascii="Times New Roman" w:hAnsi="Times New Roman" w:cs="Times New Roman"/>
        </w:rPr>
        <w:t>CRWM</w:t>
      </w:r>
      <w:r w:rsidR="00E23237">
        <w:rPr>
          <w:rFonts w:ascii="Times New Roman" w:hAnsi="Times New Roman" w:cs="Times New Roman"/>
        </w:rPr>
        <w:t xml:space="preserve"> </w:t>
      </w:r>
    </w:p>
    <w:p w:rsidR="00E23237" w:rsidRDefault="00E23237" w:rsidP="00115423">
      <w:pPr>
        <w:pStyle w:val="ListParagraph"/>
        <w:numPr>
          <w:ilvl w:val="0"/>
          <w:numId w:val="2"/>
        </w:numPr>
        <w:jc w:val="both"/>
        <w:rPr>
          <w:rFonts w:ascii="Times New Roman" w:hAnsi="Times New Roman" w:cs="Times New Roman"/>
        </w:rPr>
      </w:pPr>
      <w:r>
        <w:rPr>
          <w:rFonts w:ascii="Times New Roman" w:hAnsi="Times New Roman" w:cs="Times New Roman"/>
        </w:rPr>
        <w:t xml:space="preserve">at Key Stage One </w:t>
      </w:r>
      <w:r w:rsidR="00303BAA">
        <w:rPr>
          <w:rFonts w:ascii="Times New Roman" w:hAnsi="Times New Roman" w:cs="Times New Roman"/>
        </w:rPr>
        <w:t>the following figures were achieved by disadvantaged pupils working at t</w:t>
      </w:r>
      <w:r w:rsidR="002679C2">
        <w:rPr>
          <w:rFonts w:ascii="Times New Roman" w:hAnsi="Times New Roman" w:cs="Times New Roman"/>
        </w:rPr>
        <w:t xml:space="preserve">he Expected Standard: reading </w:t>
      </w:r>
      <w:r w:rsidR="00EC4BC9">
        <w:rPr>
          <w:rFonts w:ascii="Times New Roman" w:hAnsi="Times New Roman" w:cs="Times New Roman"/>
        </w:rPr>
        <w:t>67</w:t>
      </w:r>
      <w:r w:rsidR="002679C2">
        <w:rPr>
          <w:rFonts w:ascii="Times New Roman" w:hAnsi="Times New Roman" w:cs="Times New Roman"/>
        </w:rPr>
        <w:t xml:space="preserve">%; writing </w:t>
      </w:r>
      <w:r w:rsidR="00EC4BC9">
        <w:rPr>
          <w:rFonts w:ascii="Times New Roman" w:hAnsi="Times New Roman" w:cs="Times New Roman"/>
        </w:rPr>
        <w:t>5</w:t>
      </w:r>
      <w:r w:rsidR="002679C2">
        <w:rPr>
          <w:rFonts w:ascii="Times New Roman" w:hAnsi="Times New Roman" w:cs="Times New Roman"/>
        </w:rPr>
        <w:t xml:space="preserve">0%; maths </w:t>
      </w:r>
      <w:r w:rsidR="00EC4BC9">
        <w:rPr>
          <w:rFonts w:ascii="Times New Roman" w:hAnsi="Times New Roman" w:cs="Times New Roman"/>
        </w:rPr>
        <w:t>5</w:t>
      </w:r>
      <w:r w:rsidR="009D1B44">
        <w:rPr>
          <w:rFonts w:ascii="Times New Roman" w:hAnsi="Times New Roman" w:cs="Times New Roman"/>
        </w:rPr>
        <w:t>0%; science 6</w:t>
      </w:r>
      <w:r w:rsidR="00EC4BC9">
        <w:rPr>
          <w:rFonts w:ascii="Times New Roman" w:hAnsi="Times New Roman" w:cs="Times New Roman"/>
        </w:rPr>
        <w:t>7</w:t>
      </w:r>
      <w:r w:rsidR="002679C2">
        <w:rPr>
          <w:rFonts w:ascii="Times New Roman" w:hAnsi="Times New Roman" w:cs="Times New Roman"/>
        </w:rPr>
        <w:t xml:space="preserve">% and CRWM </w:t>
      </w:r>
      <w:r w:rsidR="00EC4BC9">
        <w:rPr>
          <w:rFonts w:ascii="Times New Roman" w:hAnsi="Times New Roman" w:cs="Times New Roman"/>
        </w:rPr>
        <w:t>5</w:t>
      </w:r>
      <w:r w:rsidR="002679C2">
        <w:rPr>
          <w:rFonts w:ascii="Times New Roman" w:hAnsi="Times New Roman" w:cs="Times New Roman"/>
        </w:rPr>
        <w:t>0</w:t>
      </w:r>
      <w:r w:rsidR="00303BAA">
        <w:rPr>
          <w:rFonts w:ascii="Times New Roman" w:hAnsi="Times New Roman" w:cs="Times New Roman"/>
        </w:rPr>
        <w:t xml:space="preserve">% compared with non-disadvantaged </w:t>
      </w:r>
      <w:proofErr w:type="gramStart"/>
      <w:r w:rsidR="002679C2">
        <w:rPr>
          <w:rFonts w:ascii="Times New Roman" w:hAnsi="Times New Roman" w:cs="Times New Roman"/>
        </w:rPr>
        <w:t>pupils</w:t>
      </w:r>
      <w:proofErr w:type="gramEnd"/>
      <w:r w:rsidR="002679C2">
        <w:rPr>
          <w:rFonts w:ascii="Times New Roman" w:hAnsi="Times New Roman" w:cs="Times New Roman"/>
        </w:rPr>
        <w:t xml:space="preserve"> attainment of: reading </w:t>
      </w:r>
      <w:r w:rsidR="00993236">
        <w:rPr>
          <w:rFonts w:ascii="Times New Roman" w:hAnsi="Times New Roman" w:cs="Times New Roman"/>
        </w:rPr>
        <w:t>100</w:t>
      </w:r>
      <w:r w:rsidR="002679C2">
        <w:rPr>
          <w:rFonts w:ascii="Times New Roman" w:hAnsi="Times New Roman" w:cs="Times New Roman"/>
        </w:rPr>
        <w:t xml:space="preserve">%; writing </w:t>
      </w:r>
      <w:r w:rsidR="00993236">
        <w:rPr>
          <w:rFonts w:ascii="Times New Roman" w:hAnsi="Times New Roman" w:cs="Times New Roman"/>
        </w:rPr>
        <w:t>68</w:t>
      </w:r>
      <w:r w:rsidR="002679C2">
        <w:rPr>
          <w:rFonts w:ascii="Times New Roman" w:hAnsi="Times New Roman" w:cs="Times New Roman"/>
        </w:rPr>
        <w:t xml:space="preserve">%; maths </w:t>
      </w:r>
      <w:r w:rsidR="00993236">
        <w:rPr>
          <w:rFonts w:ascii="Times New Roman" w:hAnsi="Times New Roman" w:cs="Times New Roman"/>
        </w:rPr>
        <w:t>89</w:t>
      </w:r>
      <w:r w:rsidR="002679C2">
        <w:rPr>
          <w:rFonts w:ascii="Times New Roman" w:hAnsi="Times New Roman" w:cs="Times New Roman"/>
        </w:rPr>
        <w:t xml:space="preserve">%; science </w:t>
      </w:r>
      <w:r w:rsidR="00993236">
        <w:rPr>
          <w:rFonts w:ascii="Times New Roman" w:hAnsi="Times New Roman" w:cs="Times New Roman"/>
        </w:rPr>
        <w:t>100</w:t>
      </w:r>
      <w:r w:rsidR="009D1B44">
        <w:rPr>
          <w:rFonts w:ascii="Times New Roman" w:hAnsi="Times New Roman" w:cs="Times New Roman"/>
        </w:rPr>
        <w:t>%</w:t>
      </w:r>
      <w:r w:rsidR="002679C2">
        <w:rPr>
          <w:rFonts w:ascii="Times New Roman" w:hAnsi="Times New Roman" w:cs="Times New Roman"/>
        </w:rPr>
        <w:t xml:space="preserve"> and CRWM </w:t>
      </w:r>
      <w:r w:rsidR="00993236">
        <w:rPr>
          <w:rFonts w:ascii="Times New Roman" w:hAnsi="Times New Roman" w:cs="Times New Roman"/>
        </w:rPr>
        <w:t>68</w:t>
      </w:r>
      <w:r w:rsidR="002679C2">
        <w:rPr>
          <w:rFonts w:ascii="Times New Roman" w:hAnsi="Times New Roman" w:cs="Times New Roman"/>
        </w:rPr>
        <w:t>%</w:t>
      </w:r>
    </w:p>
    <w:p w:rsidR="00911637" w:rsidRDefault="00303BAA" w:rsidP="00911637">
      <w:pPr>
        <w:pStyle w:val="ListParagraph"/>
        <w:numPr>
          <w:ilvl w:val="0"/>
          <w:numId w:val="2"/>
        </w:numPr>
        <w:jc w:val="both"/>
        <w:rPr>
          <w:rFonts w:ascii="Times New Roman" w:hAnsi="Times New Roman" w:cs="Times New Roman"/>
        </w:rPr>
      </w:pPr>
      <w:r>
        <w:rPr>
          <w:rFonts w:ascii="Times New Roman" w:hAnsi="Times New Roman" w:cs="Times New Roman"/>
        </w:rPr>
        <w:t xml:space="preserve">at </w:t>
      </w:r>
      <w:r w:rsidR="0038235A" w:rsidRPr="00115423">
        <w:rPr>
          <w:rFonts w:ascii="Times New Roman" w:hAnsi="Times New Roman" w:cs="Times New Roman"/>
        </w:rPr>
        <w:t xml:space="preserve">Key Stage Two </w:t>
      </w:r>
      <w:r>
        <w:rPr>
          <w:rFonts w:ascii="Times New Roman" w:hAnsi="Times New Roman" w:cs="Times New Roman"/>
        </w:rPr>
        <w:t>the following figures may be compared:</w:t>
      </w:r>
    </w:p>
    <w:p w:rsidR="006228E4" w:rsidRDefault="006228E4" w:rsidP="00911637">
      <w:pPr>
        <w:pStyle w:val="ListParagraph"/>
        <w:jc w:val="both"/>
        <w:rPr>
          <w:b/>
        </w:rPr>
      </w:pPr>
    </w:p>
    <w:p w:rsidR="00911637" w:rsidRPr="00911637" w:rsidRDefault="00911637" w:rsidP="00911637">
      <w:pPr>
        <w:pStyle w:val="ListParagraph"/>
        <w:jc w:val="both"/>
        <w:rPr>
          <w:rFonts w:ascii="Times New Roman" w:hAnsi="Times New Roman" w:cs="Times New Roman"/>
        </w:rPr>
      </w:pPr>
      <w:r w:rsidRPr="00911637">
        <w:rPr>
          <w:b/>
        </w:rPr>
        <w:t>Achieving</w:t>
      </w:r>
      <w:r w:rsidR="00300F6E">
        <w:rPr>
          <w:b/>
        </w:rPr>
        <w:t xml:space="preserve"> the Expected Standard</w:t>
      </w:r>
      <w:r w:rsidRPr="00911637">
        <w:rPr>
          <w:b/>
        </w:rPr>
        <w:t>:</w:t>
      </w:r>
    </w:p>
    <w:tbl>
      <w:tblPr>
        <w:tblStyle w:val="TableGrid"/>
        <w:tblW w:w="0" w:type="auto"/>
        <w:tblLook w:val="04A0" w:firstRow="1" w:lastRow="0" w:firstColumn="1" w:lastColumn="0" w:noHBand="0" w:noVBand="1"/>
      </w:tblPr>
      <w:tblGrid>
        <w:gridCol w:w="1393"/>
        <w:gridCol w:w="2004"/>
        <w:gridCol w:w="1134"/>
      </w:tblGrid>
      <w:tr w:rsidR="00911637" w:rsidTr="00911637">
        <w:tc>
          <w:tcPr>
            <w:tcW w:w="1393" w:type="dxa"/>
            <w:vMerge w:val="restart"/>
          </w:tcPr>
          <w:p w:rsidR="00911637" w:rsidRDefault="00911637" w:rsidP="00006281">
            <w:pPr>
              <w:pStyle w:val="NoSpacing"/>
              <w:jc w:val="both"/>
            </w:pPr>
          </w:p>
          <w:p w:rsidR="00911637" w:rsidRDefault="00911637" w:rsidP="00006281">
            <w:pPr>
              <w:pStyle w:val="NoSpacing"/>
              <w:jc w:val="both"/>
            </w:pPr>
            <w:r>
              <w:t>Reading</w:t>
            </w:r>
          </w:p>
        </w:tc>
        <w:tc>
          <w:tcPr>
            <w:tcW w:w="2004" w:type="dxa"/>
          </w:tcPr>
          <w:p w:rsidR="00911637" w:rsidRDefault="00911637" w:rsidP="00006281">
            <w:pPr>
              <w:pStyle w:val="NoSpacing"/>
              <w:jc w:val="both"/>
            </w:pPr>
            <w:r>
              <w:t>School</w:t>
            </w:r>
          </w:p>
        </w:tc>
        <w:tc>
          <w:tcPr>
            <w:tcW w:w="1134" w:type="dxa"/>
          </w:tcPr>
          <w:p w:rsidR="00911637" w:rsidRDefault="00300F6E" w:rsidP="00006281">
            <w:pPr>
              <w:pStyle w:val="NoSpacing"/>
              <w:jc w:val="center"/>
            </w:pPr>
            <w:r>
              <w:t>78</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911637" w:rsidP="00006281">
            <w:pPr>
              <w:pStyle w:val="NoSpacing"/>
              <w:jc w:val="both"/>
            </w:pPr>
            <w:r>
              <w:t>disadvantaged</w:t>
            </w:r>
          </w:p>
        </w:tc>
        <w:tc>
          <w:tcPr>
            <w:tcW w:w="1134" w:type="dxa"/>
          </w:tcPr>
          <w:p w:rsidR="00911637" w:rsidRDefault="00DF0C24" w:rsidP="00006281">
            <w:pPr>
              <w:pStyle w:val="NoSpacing"/>
              <w:jc w:val="center"/>
            </w:pPr>
            <w:r>
              <w:t>71</w:t>
            </w:r>
            <w:r w:rsidR="00FA110F">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w:t>
            </w:r>
            <w:r w:rsidR="00911637">
              <w:t xml:space="preserve"> disadvantaged</w:t>
            </w:r>
          </w:p>
        </w:tc>
        <w:tc>
          <w:tcPr>
            <w:tcW w:w="1134" w:type="dxa"/>
          </w:tcPr>
          <w:p w:rsidR="00911637" w:rsidRDefault="00DF0C24" w:rsidP="00006281">
            <w:pPr>
              <w:pStyle w:val="NoSpacing"/>
              <w:jc w:val="center"/>
            </w:pPr>
            <w:r>
              <w:t>82</w:t>
            </w:r>
            <w:r w:rsidR="00FA110F">
              <w:t>%</w:t>
            </w:r>
          </w:p>
        </w:tc>
      </w:tr>
      <w:tr w:rsidR="00911637" w:rsidTr="00911637">
        <w:tc>
          <w:tcPr>
            <w:tcW w:w="1393" w:type="dxa"/>
            <w:vMerge w:val="restart"/>
          </w:tcPr>
          <w:p w:rsidR="00911637" w:rsidRDefault="00911637" w:rsidP="00006281">
            <w:pPr>
              <w:pStyle w:val="NoSpacing"/>
              <w:jc w:val="both"/>
            </w:pPr>
          </w:p>
          <w:p w:rsidR="00911637" w:rsidRDefault="00911637" w:rsidP="00006281">
            <w:pPr>
              <w:pStyle w:val="NoSpacing"/>
              <w:jc w:val="both"/>
            </w:pPr>
            <w:r>
              <w:t>Writing (TA)</w:t>
            </w:r>
          </w:p>
        </w:tc>
        <w:tc>
          <w:tcPr>
            <w:tcW w:w="2004" w:type="dxa"/>
          </w:tcPr>
          <w:p w:rsidR="00911637" w:rsidRDefault="00911637" w:rsidP="00006281">
            <w:pPr>
              <w:pStyle w:val="NoSpacing"/>
              <w:jc w:val="both"/>
            </w:pPr>
            <w:r>
              <w:t>School</w:t>
            </w:r>
          </w:p>
        </w:tc>
        <w:tc>
          <w:tcPr>
            <w:tcW w:w="1134" w:type="dxa"/>
          </w:tcPr>
          <w:p w:rsidR="00911637" w:rsidRDefault="00EA546B" w:rsidP="00006281">
            <w:pPr>
              <w:pStyle w:val="NoSpacing"/>
              <w:jc w:val="center"/>
            </w:pPr>
            <w:r>
              <w:t>67</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911637" w:rsidP="00006281">
            <w:pPr>
              <w:pStyle w:val="NoSpacing"/>
              <w:jc w:val="center"/>
            </w:pPr>
            <w:r>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256C15" w:rsidP="00006281">
            <w:pPr>
              <w:pStyle w:val="NoSpacing"/>
              <w:jc w:val="center"/>
            </w:pPr>
            <w:r>
              <w:t>90</w:t>
            </w:r>
            <w:r w:rsidR="00911637">
              <w:t>%</w:t>
            </w:r>
          </w:p>
        </w:tc>
      </w:tr>
      <w:tr w:rsidR="00911637" w:rsidTr="00911637">
        <w:tc>
          <w:tcPr>
            <w:tcW w:w="1393" w:type="dxa"/>
            <w:vMerge w:val="restart"/>
          </w:tcPr>
          <w:p w:rsidR="00911637" w:rsidRDefault="00911637" w:rsidP="00006281">
            <w:pPr>
              <w:pStyle w:val="NoSpacing"/>
              <w:jc w:val="both"/>
            </w:pPr>
          </w:p>
          <w:p w:rsidR="00911637" w:rsidRDefault="00911637" w:rsidP="00006281">
            <w:pPr>
              <w:pStyle w:val="NoSpacing"/>
              <w:jc w:val="both"/>
            </w:pPr>
            <w:r>
              <w:t>Mathematics</w:t>
            </w:r>
          </w:p>
        </w:tc>
        <w:tc>
          <w:tcPr>
            <w:tcW w:w="2004" w:type="dxa"/>
          </w:tcPr>
          <w:p w:rsidR="00911637" w:rsidRDefault="00911637" w:rsidP="00006281">
            <w:pPr>
              <w:pStyle w:val="NoSpacing"/>
              <w:jc w:val="both"/>
            </w:pPr>
            <w:r>
              <w:t>School</w:t>
            </w:r>
          </w:p>
        </w:tc>
        <w:tc>
          <w:tcPr>
            <w:tcW w:w="1134" w:type="dxa"/>
          </w:tcPr>
          <w:p w:rsidR="00911637" w:rsidRDefault="00167D41" w:rsidP="00006281">
            <w:pPr>
              <w:pStyle w:val="NoSpacing"/>
              <w:jc w:val="center"/>
            </w:pPr>
            <w:r>
              <w:t>94</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DF0C24" w:rsidP="00006281">
            <w:pPr>
              <w:pStyle w:val="NoSpacing"/>
              <w:jc w:val="center"/>
            </w:pPr>
            <w:r>
              <w:t>86</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DF0C24" w:rsidP="00006281">
            <w:pPr>
              <w:pStyle w:val="NoSpacing"/>
              <w:jc w:val="center"/>
            </w:pPr>
            <w:r>
              <w:t>100</w:t>
            </w:r>
            <w:r w:rsidR="00911637">
              <w:t>%</w:t>
            </w:r>
          </w:p>
        </w:tc>
      </w:tr>
      <w:tr w:rsidR="00911637" w:rsidTr="00911637">
        <w:tc>
          <w:tcPr>
            <w:tcW w:w="1393" w:type="dxa"/>
            <w:vMerge w:val="restart"/>
          </w:tcPr>
          <w:p w:rsidR="00911637" w:rsidRDefault="00911637" w:rsidP="00006281">
            <w:pPr>
              <w:pStyle w:val="NoSpacing"/>
              <w:jc w:val="both"/>
            </w:pPr>
            <w:r>
              <w:t>Spelling, Punctuation &amp; Grammar</w:t>
            </w:r>
          </w:p>
        </w:tc>
        <w:tc>
          <w:tcPr>
            <w:tcW w:w="2004" w:type="dxa"/>
          </w:tcPr>
          <w:p w:rsidR="00911637" w:rsidRDefault="00911637" w:rsidP="00006281">
            <w:pPr>
              <w:pStyle w:val="NoSpacing"/>
              <w:jc w:val="both"/>
            </w:pPr>
            <w:r>
              <w:t>School</w:t>
            </w:r>
          </w:p>
        </w:tc>
        <w:tc>
          <w:tcPr>
            <w:tcW w:w="1134" w:type="dxa"/>
          </w:tcPr>
          <w:p w:rsidR="00911637" w:rsidRDefault="00300F6E" w:rsidP="00006281">
            <w:pPr>
              <w:pStyle w:val="NoSpacing"/>
              <w:jc w:val="center"/>
            </w:pPr>
            <w:r>
              <w:t>8</w:t>
            </w:r>
            <w:r w:rsidR="00167D41">
              <w:t>3</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DF0C24" w:rsidP="00006281">
            <w:pPr>
              <w:pStyle w:val="NoSpacing"/>
              <w:jc w:val="center"/>
            </w:pPr>
            <w:r>
              <w:t>71</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300F6E" w:rsidP="00006281">
            <w:pPr>
              <w:pStyle w:val="NoSpacing"/>
              <w:jc w:val="center"/>
            </w:pPr>
            <w:r>
              <w:t>8</w:t>
            </w:r>
            <w:r w:rsidR="00DF0C24">
              <w:t>2</w:t>
            </w:r>
            <w:r w:rsidR="00911637">
              <w:t>%</w:t>
            </w:r>
          </w:p>
        </w:tc>
      </w:tr>
      <w:tr w:rsidR="00911637" w:rsidTr="00911637">
        <w:tc>
          <w:tcPr>
            <w:tcW w:w="1393" w:type="dxa"/>
            <w:vMerge w:val="restart"/>
          </w:tcPr>
          <w:p w:rsidR="00911637" w:rsidRDefault="00911637" w:rsidP="00006281">
            <w:pPr>
              <w:pStyle w:val="NoSpacing"/>
              <w:jc w:val="both"/>
            </w:pPr>
          </w:p>
          <w:p w:rsidR="00911637" w:rsidRDefault="00911637" w:rsidP="00006281">
            <w:pPr>
              <w:pStyle w:val="NoSpacing"/>
              <w:jc w:val="both"/>
            </w:pPr>
            <w:r>
              <w:t>CRWM</w:t>
            </w:r>
          </w:p>
          <w:p w:rsidR="00911637" w:rsidRDefault="00911637" w:rsidP="00006281">
            <w:pPr>
              <w:pStyle w:val="NoSpacing"/>
              <w:jc w:val="both"/>
            </w:pPr>
          </w:p>
        </w:tc>
        <w:tc>
          <w:tcPr>
            <w:tcW w:w="2004" w:type="dxa"/>
          </w:tcPr>
          <w:p w:rsidR="00911637" w:rsidRDefault="00911637" w:rsidP="00006281">
            <w:pPr>
              <w:pStyle w:val="NoSpacing"/>
              <w:jc w:val="both"/>
            </w:pPr>
            <w:r>
              <w:t>School</w:t>
            </w:r>
          </w:p>
        </w:tc>
        <w:tc>
          <w:tcPr>
            <w:tcW w:w="1134" w:type="dxa"/>
          </w:tcPr>
          <w:p w:rsidR="00911637" w:rsidRDefault="00167D41" w:rsidP="00006281">
            <w:pPr>
              <w:pStyle w:val="NoSpacing"/>
              <w:jc w:val="center"/>
            </w:pPr>
            <w:r>
              <w:t>67</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DF0C24" w:rsidP="00006281">
            <w:pPr>
              <w:pStyle w:val="NoSpacing"/>
              <w:jc w:val="center"/>
            </w:pPr>
            <w:r>
              <w:t>14</w:t>
            </w:r>
            <w:r w:rsidR="00911637">
              <w:t>%</w:t>
            </w:r>
          </w:p>
        </w:tc>
      </w:tr>
      <w:tr w:rsidR="00911637" w:rsidTr="00911637">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DF0C24" w:rsidP="00006281">
            <w:pPr>
              <w:pStyle w:val="NoSpacing"/>
              <w:jc w:val="center"/>
            </w:pPr>
            <w:r>
              <w:t>82</w:t>
            </w:r>
            <w:r w:rsidR="00911637">
              <w:t>%</w:t>
            </w:r>
          </w:p>
        </w:tc>
      </w:tr>
    </w:tbl>
    <w:p w:rsidR="00FA110F" w:rsidRDefault="00FA110F" w:rsidP="00FA110F">
      <w:pPr>
        <w:pStyle w:val="NoSpacing"/>
        <w:ind w:left="720"/>
        <w:jc w:val="both"/>
        <w:rPr>
          <w:b/>
        </w:rPr>
      </w:pPr>
    </w:p>
    <w:p w:rsidR="00911637" w:rsidRPr="00107D9E" w:rsidRDefault="00911637" w:rsidP="00FA110F">
      <w:pPr>
        <w:pStyle w:val="NoSpacing"/>
        <w:ind w:left="720"/>
        <w:jc w:val="both"/>
        <w:rPr>
          <w:b/>
        </w:rPr>
      </w:pPr>
      <w:r>
        <w:rPr>
          <w:b/>
        </w:rPr>
        <w:t>Achieving the Higher</w:t>
      </w:r>
      <w:r w:rsidRPr="00107D9E">
        <w:rPr>
          <w:b/>
        </w:rPr>
        <w:t xml:space="preserve"> Standard:</w:t>
      </w:r>
    </w:p>
    <w:tbl>
      <w:tblPr>
        <w:tblStyle w:val="TableGrid"/>
        <w:tblW w:w="0" w:type="auto"/>
        <w:tblLook w:val="04A0" w:firstRow="1" w:lastRow="0" w:firstColumn="1" w:lastColumn="0" w:noHBand="0" w:noVBand="1"/>
      </w:tblPr>
      <w:tblGrid>
        <w:gridCol w:w="1393"/>
        <w:gridCol w:w="2004"/>
        <w:gridCol w:w="1134"/>
      </w:tblGrid>
      <w:tr w:rsidR="00911637" w:rsidTr="00FA110F">
        <w:tc>
          <w:tcPr>
            <w:tcW w:w="1393" w:type="dxa"/>
            <w:vMerge w:val="restart"/>
          </w:tcPr>
          <w:p w:rsidR="00911637" w:rsidRDefault="00911637" w:rsidP="00006281">
            <w:pPr>
              <w:pStyle w:val="NoSpacing"/>
              <w:jc w:val="both"/>
            </w:pPr>
          </w:p>
          <w:p w:rsidR="00911637" w:rsidRDefault="00911637" w:rsidP="00006281">
            <w:pPr>
              <w:pStyle w:val="NoSpacing"/>
              <w:jc w:val="both"/>
            </w:pPr>
            <w:r>
              <w:t>Reading</w:t>
            </w:r>
          </w:p>
        </w:tc>
        <w:tc>
          <w:tcPr>
            <w:tcW w:w="2004" w:type="dxa"/>
          </w:tcPr>
          <w:p w:rsidR="00911637" w:rsidRDefault="00911637" w:rsidP="00006281">
            <w:pPr>
              <w:pStyle w:val="NoSpacing"/>
              <w:jc w:val="both"/>
            </w:pPr>
            <w:r>
              <w:t>School</w:t>
            </w:r>
          </w:p>
        </w:tc>
        <w:tc>
          <w:tcPr>
            <w:tcW w:w="1134" w:type="dxa"/>
          </w:tcPr>
          <w:p w:rsidR="00911637" w:rsidRDefault="00167D41" w:rsidP="00006281">
            <w:pPr>
              <w:pStyle w:val="NoSpacing"/>
              <w:jc w:val="center"/>
            </w:pPr>
            <w:r>
              <w:t>33</w:t>
            </w:r>
            <w:r w:rsidR="00911637">
              <w:t>%</w:t>
            </w:r>
          </w:p>
        </w:tc>
      </w:tr>
      <w:tr w:rsidR="00911637" w:rsidTr="00FA110F">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DF0C24" w:rsidP="00006281">
            <w:pPr>
              <w:pStyle w:val="NoSpacing"/>
              <w:jc w:val="center"/>
            </w:pPr>
            <w:r>
              <w:t>43</w:t>
            </w:r>
            <w:r w:rsidR="00911637">
              <w:t>%</w:t>
            </w:r>
          </w:p>
        </w:tc>
      </w:tr>
      <w:tr w:rsidR="00911637" w:rsidTr="00FA110F">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300F6E" w:rsidP="00006281">
            <w:pPr>
              <w:pStyle w:val="NoSpacing"/>
              <w:jc w:val="center"/>
            </w:pPr>
            <w:r>
              <w:t>29</w:t>
            </w:r>
            <w:r w:rsidR="00911637">
              <w:t>%</w:t>
            </w:r>
          </w:p>
        </w:tc>
      </w:tr>
      <w:tr w:rsidR="00911637" w:rsidTr="00FA110F">
        <w:tc>
          <w:tcPr>
            <w:tcW w:w="1393" w:type="dxa"/>
            <w:vMerge w:val="restart"/>
          </w:tcPr>
          <w:p w:rsidR="00911637" w:rsidRDefault="00911637" w:rsidP="00006281">
            <w:pPr>
              <w:pStyle w:val="NoSpacing"/>
              <w:jc w:val="both"/>
            </w:pPr>
          </w:p>
          <w:p w:rsidR="00911637" w:rsidRDefault="00167D41" w:rsidP="00006281">
            <w:pPr>
              <w:pStyle w:val="NoSpacing"/>
              <w:jc w:val="both"/>
            </w:pPr>
            <w:r>
              <w:t>SPAG</w:t>
            </w:r>
            <w:r w:rsidR="00911637">
              <w:t xml:space="preserve"> </w:t>
            </w:r>
          </w:p>
        </w:tc>
        <w:tc>
          <w:tcPr>
            <w:tcW w:w="2004" w:type="dxa"/>
          </w:tcPr>
          <w:p w:rsidR="00911637" w:rsidRDefault="00911637" w:rsidP="00006281">
            <w:pPr>
              <w:pStyle w:val="NoSpacing"/>
              <w:jc w:val="both"/>
            </w:pPr>
            <w:r>
              <w:t>School</w:t>
            </w:r>
          </w:p>
        </w:tc>
        <w:tc>
          <w:tcPr>
            <w:tcW w:w="1134" w:type="dxa"/>
          </w:tcPr>
          <w:p w:rsidR="00911637" w:rsidRDefault="00167D41" w:rsidP="00006281">
            <w:pPr>
              <w:pStyle w:val="NoSpacing"/>
              <w:jc w:val="center"/>
            </w:pPr>
            <w:r>
              <w:t>28</w:t>
            </w:r>
            <w:r w:rsidR="00911637">
              <w:t>%</w:t>
            </w:r>
          </w:p>
        </w:tc>
      </w:tr>
      <w:tr w:rsidR="00911637" w:rsidTr="00FA110F">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AF2FA3" w:rsidP="00006281">
            <w:pPr>
              <w:pStyle w:val="NoSpacing"/>
              <w:jc w:val="center"/>
            </w:pPr>
            <w:r>
              <w:t>14</w:t>
            </w:r>
            <w:r w:rsidR="00911637">
              <w:t>%</w:t>
            </w:r>
          </w:p>
        </w:tc>
      </w:tr>
      <w:tr w:rsidR="00911637" w:rsidTr="00FA110F">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AF2FA3" w:rsidP="00006281">
            <w:pPr>
              <w:pStyle w:val="NoSpacing"/>
              <w:jc w:val="center"/>
            </w:pPr>
            <w:r>
              <w:t>36</w:t>
            </w:r>
            <w:r w:rsidR="00911637">
              <w:t>%</w:t>
            </w:r>
          </w:p>
        </w:tc>
      </w:tr>
      <w:tr w:rsidR="00911637" w:rsidTr="00FA110F">
        <w:tc>
          <w:tcPr>
            <w:tcW w:w="1393" w:type="dxa"/>
            <w:vMerge w:val="restart"/>
          </w:tcPr>
          <w:p w:rsidR="00911637" w:rsidRDefault="00911637" w:rsidP="00006281">
            <w:pPr>
              <w:pStyle w:val="NoSpacing"/>
              <w:jc w:val="both"/>
            </w:pPr>
          </w:p>
          <w:p w:rsidR="00911637" w:rsidRDefault="00911637" w:rsidP="00006281">
            <w:pPr>
              <w:pStyle w:val="NoSpacing"/>
              <w:jc w:val="both"/>
            </w:pPr>
            <w:r>
              <w:t>Mathematics</w:t>
            </w:r>
          </w:p>
        </w:tc>
        <w:tc>
          <w:tcPr>
            <w:tcW w:w="2004" w:type="dxa"/>
          </w:tcPr>
          <w:p w:rsidR="00911637" w:rsidRDefault="00911637" w:rsidP="00006281">
            <w:pPr>
              <w:pStyle w:val="NoSpacing"/>
              <w:jc w:val="both"/>
            </w:pPr>
            <w:r>
              <w:t>School</w:t>
            </w:r>
          </w:p>
        </w:tc>
        <w:tc>
          <w:tcPr>
            <w:tcW w:w="1134" w:type="dxa"/>
          </w:tcPr>
          <w:p w:rsidR="00911637" w:rsidRDefault="00167D41" w:rsidP="00006281">
            <w:pPr>
              <w:pStyle w:val="NoSpacing"/>
              <w:jc w:val="center"/>
            </w:pPr>
            <w:r>
              <w:t>17</w:t>
            </w:r>
            <w:r w:rsidR="00911637">
              <w:t>%</w:t>
            </w:r>
          </w:p>
        </w:tc>
      </w:tr>
      <w:tr w:rsidR="00911637" w:rsidTr="00FA110F">
        <w:tc>
          <w:tcPr>
            <w:tcW w:w="1393" w:type="dxa"/>
            <w:vMerge/>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AF2FA3" w:rsidP="00006281">
            <w:pPr>
              <w:pStyle w:val="NoSpacing"/>
              <w:jc w:val="center"/>
            </w:pPr>
            <w:r>
              <w:t>14</w:t>
            </w:r>
            <w:r w:rsidR="00911637">
              <w:t>%</w:t>
            </w:r>
          </w:p>
        </w:tc>
      </w:tr>
      <w:tr w:rsidR="00911637" w:rsidTr="00FA110F">
        <w:tc>
          <w:tcPr>
            <w:tcW w:w="1393" w:type="dxa"/>
            <w:vMerge/>
            <w:tcBorders>
              <w:bottom w:val="single" w:sz="4" w:space="0" w:color="auto"/>
            </w:tcBorders>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AF2FA3" w:rsidP="00006281">
            <w:pPr>
              <w:pStyle w:val="NoSpacing"/>
              <w:jc w:val="center"/>
            </w:pPr>
            <w:r>
              <w:t>18</w:t>
            </w:r>
            <w:r w:rsidR="00911637">
              <w:t>%</w:t>
            </w:r>
          </w:p>
        </w:tc>
      </w:tr>
      <w:tr w:rsidR="00911637" w:rsidTr="00FA110F">
        <w:tc>
          <w:tcPr>
            <w:tcW w:w="1393" w:type="dxa"/>
            <w:vMerge w:val="restart"/>
            <w:tcBorders>
              <w:bottom w:val="single" w:sz="4" w:space="0" w:color="auto"/>
            </w:tcBorders>
          </w:tcPr>
          <w:p w:rsidR="00911637" w:rsidRDefault="00911637" w:rsidP="00006281">
            <w:pPr>
              <w:pStyle w:val="NoSpacing"/>
              <w:jc w:val="both"/>
            </w:pPr>
          </w:p>
          <w:p w:rsidR="00911637" w:rsidRDefault="00911637" w:rsidP="00006281">
            <w:pPr>
              <w:pStyle w:val="NoSpacing"/>
              <w:jc w:val="both"/>
            </w:pPr>
            <w:r>
              <w:t>CRWM</w:t>
            </w:r>
          </w:p>
          <w:p w:rsidR="00911637" w:rsidRDefault="00911637" w:rsidP="00006281">
            <w:pPr>
              <w:pStyle w:val="NoSpacing"/>
              <w:jc w:val="both"/>
            </w:pPr>
          </w:p>
        </w:tc>
        <w:tc>
          <w:tcPr>
            <w:tcW w:w="2004" w:type="dxa"/>
          </w:tcPr>
          <w:p w:rsidR="00911637" w:rsidRDefault="00911637" w:rsidP="00006281">
            <w:pPr>
              <w:pStyle w:val="NoSpacing"/>
              <w:jc w:val="both"/>
            </w:pPr>
            <w:r>
              <w:t>School</w:t>
            </w:r>
          </w:p>
        </w:tc>
        <w:tc>
          <w:tcPr>
            <w:tcW w:w="1134" w:type="dxa"/>
          </w:tcPr>
          <w:p w:rsidR="00911637" w:rsidRDefault="00BF3C30" w:rsidP="00006281">
            <w:pPr>
              <w:pStyle w:val="NoSpacing"/>
              <w:jc w:val="center"/>
            </w:pPr>
            <w:r>
              <w:t>15</w:t>
            </w:r>
            <w:r w:rsidR="00911637">
              <w:t>%</w:t>
            </w:r>
          </w:p>
        </w:tc>
      </w:tr>
      <w:tr w:rsidR="00911637" w:rsidTr="00FA110F">
        <w:tc>
          <w:tcPr>
            <w:tcW w:w="1393" w:type="dxa"/>
            <w:vMerge/>
            <w:tcBorders>
              <w:bottom w:val="single" w:sz="4" w:space="0" w:color="auto"/>
            </w:tcBorders>
          </w:tcPr>
          <w:p w:rsidR="00911637" w:rsidRDefault="00911637" w:rsidP="00006281">
            <w:pPr>
              <w:pStyle w:val="NoSpacing"/>
              <w:jc w:val="both"/>
            </w:pPr>
          </w:p>
        </w:tc>
        <w:tc>
          <w:tcPr>
            <w:tcW w:w="2004" w:type="dxa"/>
          </w:tcPr>
          <w:p w:rsidR="00911637" w:rsidRDefault="00FA110F" w:rsidP="00006281">
            <w:pPr>
              <w:pStyle w:val="NoSpacing"/>
              <w:jc w:val="both"/>
            </w:pPr>
            <w:r>
              <w:t>disadvantaged</w:t>
            </w:r>
          </w:p>
        </w:tc>
        <w:tc>
          <w:tcPr>
            <w:tcW w:w="1134" w:type="dxa"/>
          </w:tcPr>
          <w:p w:rsidR="00911637" w:rsidRDefault="00DF0C24" w:rsidP="00006281">
            <w:pPr>
              <w:pStyle w:val="NoSpacing"/>
              <w:jc w:val="center"/>
            </w:pPr>
            <w:r>
              <w:t>14</w:t>
            </w:r>
            <w:r w:rsidR="00911637">
              <w:t>%</w:t>
            </w:r>
          </w:p>
        </w:tc>
      </w:tr>
      <w:tr w:rsidR="00911637" w:rsidTr="00FA110F">
        <w:tc>
          <w:tcPr>
            <w:tcW w:w="1393" w:type="dxa"/>
            <w:vMerge/>
            <w:tcBorders>
              <w:bottom w:val="single" w:sz="4" w:space="0" w:color="auto"/>
            </w:tcBorders>
          </w:tcPr>
          <w:p w:rsidR="00911637" w:rsidRDefault="00911637" w:rsidP="00006281">
            <w:pPr>
              <w:pStyle w:val="NoSpacing"/>
              <w:jc w:val="both"/>
            </w:pPr>
          </w:p>
        </w:tc>
        <w:tc>
          <w:tcPr>
            <w:tcW w:w="2004" w:type="dxa"/>
          </w:tcPr>
          <w:p w:rsidR="00911637" w:rsidRDefault="00FA110F" w:rsidP="00006281">
            <w:pPr>
              <w:pStyle w:val="NoSpacing"/>
              <w:jc w:val="both"/>
            </w:pPr>
            <w:r>
              <w:t>non disadvantaged</w:t>
            </w:r>
          </w:p>
        </w:tc>
        <w:tc>
          <w:tcPr>
            <w:tcW w:w="1134" w:type="dxa"/>
          </w:tcPr>
          <w:p w:rsidR="00911637" w:rsidRDefault="00AF2FA3" w:rsidP="00006281">
            <w:pPr>
              <w:pStyle w:val="NoSpacing"/>
              <w:jc w:val="center"/>
            </w:pPr>
            <w:r>
              <w:t>0</w:t>
            </w:r>
            <w:r w:rsidR="00911637">
              <w:t>%</w:t>
            </w:r>
          </w:p>
        </w:tc>
      </w:tr>
    </w:tbl>
    <w:p w:rsidR="00911637" w:rsidRDefault="00911637" w:rsidP="00030BDE">
      <w:pPr>
        <w:jc w:val="both"/>
      </w:pPr>
    </w:p>
    <w:p w:rsidR="00030BDE" w:rsidRPr="00030BDE" w:rsidRDefault="00BF4E64" w:rsidP="00030BDE">
      <w:pPr>
        <w:jc w:val="both"/>
        <w:rPr>
          <w:b/>
        </w:rPr>
      </w:pPr>
      <w:r>
        <w:rPr>
          <w:b/>
        </w:rPr>
        <w:t>Barrie</w:t>
      </w:r>
      <w:r w:rsidR="00167D41">
        <w:rPr>
          <w:b/>
        </w:rPr>
        <w:t>r</w:t>
      </w:r>
      <w:r>
        <w:rPr>
          <w:b/>
        </w:rPr>
        <w:t>s to Future A</w:t>
      </w:r>
      <w:r w:rsidR="00030BDE" w:rsidRPr="00030BDE">
        <w:rPr>
          <w:b/>
        </w:rPr>
        <w:t>ttainment:</w:t>
      </w:r>
    </w:p>
    <w:p w:rsidR="00030BDE" w:rsidRDefault="00030BDE" w:rsidP="00030BDE">
      <w:pPr>
        <w:pStyle w:val="ListParagraph"/>
        <w:numPr>
          <w:ilvl w:val="0"/>
          <w:numId w:val="3"/>
        </w:numPr>
        <w:jc w:val="both"/>
        <w:rPr>
          <w:rFonts w:ascii="Times New Roman" w:hAnsi="Times New Roman" w:cs="Times New Roman"/>
        </w:rPr>
      </w:pPr>
      <w:r>
        <w:rPr>
          <w:rFonts w:ascii="Times New Roman" w:hAnsi="Times New Roman" w:cs="Times New Roman"/>
        </w:rPr>
        <w:t>oral skills of pupils on entry to school</w:t>
      </w:r>
    </w:p>
    <w:p w:rsidR="007D772C" w:rsidRDefault="007D772C" w:rsidP="00030BDE">
      <w:pPr>
        <w:pStyle w:val="ListParagraph"/>
        <w:numPr>
          <w:ilvl w:val="0"/>
          <w:numId w:val="3"/>
        </w:numPr>
        <w:jc w:val="both"/>
        <w:rPr>
          <w:rFonts w:ascii="Times New Roman" w:hAnsi="Times New Roman" w:cs="Times New Roman"/>
        </w:rPr>
      </w:pPr>
      <w:r>
        <w:rPr>
          <w:rFonts w:ascii="Times New Roman" w:hAnsi="Times New Roman" w:cs="Times New Roman"/>
        </w:rPr>
        <w:t>prior life experiences of disadvantaged pupils</w:t>
      </w:r>
    </w:p>
    <w:p w:rsidR="00030BDE" w:rsidRDefault="00030BDE" w:rsidP="00030BDE">
      <w:pPr>
        <w:pStyle w:val="ListParagraph"/>
        <w:numPr>
          <w:ilvl w:val="0"/>
          <w:numId w:val="3"/>
        </w:numPr>
        <w:jc w:val="both"/>
        <w:rPr>
          <w:rFonts w:ascii="Times New Roman" w:hAnsi="Times New Roman" w:cs="Times New Roman"/>
        </w:rPr>
      </w:pPr>
      <w:r>
        <w:rPr>
          <w:rFonts w:ascii="Times New Roman" w:hAnsi="Times New Roman" w:cs="Times New Roman"/>
        </w:rPr>
        <w:t xml:space="preserve">low </w:t>
      </w:r>
      <w:r w:rsidR="00BF4E64">
        <w:rPr>
          <w:rFonts w:ascii="Times New Roman" w:hAnsi="Times New Roman" w:cs="Times New Roman"/>
        </w:rPr>
        <w:t xml:space="preserve">attendance and poor punctuality </w:t>
      </w:r>
      <w:r>
        <w:rPr>
          <w:rFonts w:ascii="Times New Roman" w:hAnsi="Times New Roman" w:cs="Times New Roman"/>
        </w:rPr>
        <w:t>of some disadvantaged pupils</w:t>
      </w:r>
    </w:p>
    <w:p w:rsidR="00BF4E64" w:rsidRPr="007D105B" w:rsidRDefault="00BF4E64" w:rsidP="00BF4E64">
      <w:pPr>
        <w:jc w:val="both"/>
        <w:rPr>
          <w:rFonts w:ascii="Times New Roman" w:hAnsi="Times New Roman" w:cs="Times New Roman"/>
          <w:b/>
        </w:rPr>
      </w:pPr>
      <w:r w:rsidRPr="007D105B">
        <w:rPr>
          <w:rFonts w:ascii="Times New Roman" w:hAnsi="Times New Roman" w:cs="Times New Roman"/>
          <w:b/>
        </w:rPr>
        <w:t>Desired Outcomes:</w:t>
      </w:r>
    </w:p>
    <w:p w:rsidR="00BF4E64" w:rsidRDefault="00BF4E64" w:rsidP="00BF4E64">
      <w:pPr>
        <w:pStyle w:val="ListParagraph"/>
        <w:numPr>
          <w:ilvl w:val="0"/>
          <w:numId w:val="4"/>
        </w:numPr>
        <w:jc w:val="both"/>
        <w:rPr>
          <w:rFonts w:ascii="Times New Roman" w:hAnsi="Times New Roman" w:cs="Times New Roman"/>
        </w:rPr>
      </w:pPr>
      <w:r>
        <w:rPr>
          <w:rFonts w:ascii="Times New Roman" w:hAnsi="Times New Roman" w:cs="Times New Roman"/>
        </w:rPr>
        <w:t xml:space="preserve">improve oral language skills </w:t>
      </w:r>
      <w:r w:rsidR="001901B0">
        <w:rPr>
          <w:rFonts w:ascii="Times New Roman" w:hAnsi="Times New Roman" w:cs="Times New Roman"/>
        </w:rPr>
        <w:t xml:space="preserve">and vocabulary </w:t>
      </w:r>
      <w:r>
        <w:rPr>
          <w:rFonts w:ascii="Times New Roman" w:hAnsi="Times New Roman" w:cs="Times New Roman"/>
        </w:rPr>
        <w:t xml:space="preserve">for </w:t>
      </w:r>
      <w:r w:rsidR="004018BD">
        <w:rPr>
          <w:rFonts w:ascii="Times New Roman" w:hAnsi="Times New Roman" w:cs="Times New Roman"/>
        </w:rPr>
        <w:t>Nursery and R</w:t>
      </w:r>
      <w:r>
        <w:rPr>
          <w:rFonts w:ascii="Times New Roman" w:hAnsi="Times New Roman" w:cs="Times New Roman"/>
        </w:rPr>
        <w:t>eception and Key Stage One pupils through additional support and targeted sessions during SFA and at other times to ensure the children meet age related expectations (ongoing throughout the year as required)</w:t>
      </w:r>
    </w:p>
    <w:p w:rsidR="007D772C" w:rsidRDefault="007D772C" w:rsidP="00BF4E64">
      <w:pPr>
        <w:pStyle w:val="ListParagraph"/>
        <w:numPr>
          <w:ilvl w:val="0"/>
          <w:numId w:val="4"/>
        </w:numPr>
        <w:jc w:val="both"/>
        <w:rPr>
          <w:rFonts w:ascii="Times New Roman" w:hAnsi="Times New Roman" w:cs="Times New Roman"/>
        </w:rPr>
      </w:pPr>
      <w:r>
        <w:rPr>
          <w:rFonts w:ascii="Times New Roman" w:hAnsi="Times New Roman" w:cs="Times New Roman"/>
        </w:rPr>
        <w:t>provision of a broad, practical and enriched curriculum which offers experiences to pupils which they would not receive outside the school setting (including outside learning, music, art, P.E.</w:t>
      </w:r>
      <w:r w:rsidR="004018BD">
        <w:rPr>
          <w:rFonts w:ascii="Times New Roman" w:hAnsi="Times New Roman" w:cs="Times New Roman"/>
        </w:rPr>
        <w:t>, R.E. and citizenship</w:t>
      </w:r>
      <w:r>
        <w:rPr>
          <w:rFonts w:ascii="Times New Roman" w:hAnsi="Times New Roman" w:cs="Times New Roman"/>
        </w:rPr>
        <w:t>)</w:t>
      </w:r>
    </w:p>
    <w:p w:rsidR="00BF4E64" w:rsidRDefault="00BF4E64" w:rsidP="00BF4E64">
      <w:pPr>
        <w:pStyle w:val="ListParagraph"/>
        <w:numPr>
          <w:ilvl w:val="0"/>
          <w:numId w:val="4"/>
        </w:numPr>
        <w:jc w:val="both"/>
        <w:rPr>
          <w:rFonts w:ascii="Times New Roman" w:hAnsi="Times New Roman" w:cs="Times New Roman"/>
        </w:rPr>
      </w:pPr>
      <w:r>
        <w:rPr>
          <w:rFonts w:ascii="Times New Roman" w:hAnsi="Times New Roman" w:cs="Times New Roman"/>
        </w:rPr>
        <w:t>reduce the number of persist</w:t>
      </w:r>
      <w:r w:rsidR="004018BD">
        <w:rPr>
          <w:rFonts w:ascii="Times New Roman" w:hAnsi="Times New Roman" w:cs="Times New Roman"/>
        </w:rPr>
        <w:t xml:space="preserve">ent absentees </w:t>
      </w:r>
      <w:r>
        <w:rPr>
          <w:rFonts w:ascii="Times New Roman" w:hAnsi="Times New Roman" w:cs="Times New Roman"/>
        </w:rPr>
        <w:t xml:space="preserve">which causes pupils to fall behind, so ensuring an increased amount of time in school and learning (increased liaison with home and offer of </w:t>
      </w:r>
      <w:r>
        <w:rPr>
          <w:rFonts w:ascii="Times New Roman" w:hAnsi="Times New Roman" w:cs="Times New Roman"/>
        </w:rPr>
        <w:lastRenderedPageBreak/>
        <w:t>support, barriers to attendance, deployment of attendance officer to offer support</w:t>
      </w:r>
      <w:r w:rsidR="007D105B">
        <w:rPr>
          <w:rFonts w:ascii="Times New Roman" w:hAnsi="Times New Roman" w:cs="Times New Roman"/>
        </w:rPr>
        <w:t>/intervention programmes, if required)</w:t>
      </w:r>
    </w:p>
    <w:p w:rsidR="006228E4" w:rsidRPr="00F91536" w:rsidRDefault="00AF0BD5" w:rsidP="007D105B">
      <w:pPr>
        <w:pStyle w:val="ListParagraph"/>
        <w:numPr>
          <w:ilvl w:val="0"/>
          <w:numId w:val="4"/>
        </w:numPr>
        <w:jc w:val="both"/>
        <w:rPr>
          <w:rFonts w:ascii="Times New Roman" w:hAnsi="Times New Roman" w:cs="Times New Roman"/>
        </w:rPr>
      </w:pPr>
      <w:r>
        <w:rPr>
          <w:rFonts w:ascii="Times New Roman" w:hAnsi="Times New Roman" w:cs="Times New Roman"/>
        </w:rPr>
        <w:t>ensuring the emotional and physical effects of closure are appropriately catered for to enable learning to occur</w:t>
      </w:r>
    </w:p>
    <w:p w:rsidR="007D105B" w:rsidRPr="007D105B" w:rsidRDefault="007D105B" w:rsidP="007D105B">
      <w:pPr>
        <w:jc w:val="both"/>
        <w:rPr>
          <w:rFonts w:ascii="Times New Roman" w:hAnsi="Times New Roman" w:cs="Times New Roman"/>
          <w:b/>
        </w:rPr>
      </w:pPr>
      <w:r w:rsidRPr="007D105B">
        <w:rPr>
          <w:rFonts w:ascii="Times New Roman" w:hAnsi="Times New Roman" w:cs="Times New Roman"/>
          <w:b/>
        </w:rPr>
        <w:t>Planned Expenditure:</w:t>
      </w:r>
    </w:p>
    <w:p w:rsidR="007D105B" w:rsidRPr="00AB3AA6" w:rsidRDefault="00712F7C" w:rsidP="00F1044C">
      <w:pPr>
        <w:jc w:val="both"/>
        <w:rPr>
          <w:rFonts w:ascii="Times New Roman" w:hAnsi="Times New Roman" w:cs="Times New Roman"/>
        </w:rPr>
      </w:pPr>
      <w:r w:rsidRPr="00AB3AA6">
        <w:rPr>
          <w:rFonts w:ascii="Times New Roman" w:hAnsi="Times New Roman" w:cs="Times New Roman"/>
        </w:rPr>
        <w:t>As a result of the impact of our previous allocations f</w:t>
      </w:r>
      <w:r w:rsidR="001901B0" w:rsidRPr="00AB3AA6">
        <w:rPr>
          <w:rFonts w:ascii="Times New Roman" w:hAnsi="Times New Roman" w:cs="Times New Roman"/>
        </w:rPr>
        <w:t>unds for 20</w:t>
      </w:r>
      <w:r w:rsidR="00AF0BD5" w:rsidRPr="00AB3AA6">
        <w:rPr>
          <w:rFonts w:ascii="Times New Roman" w:hAnsi="Times New Roman" w:cs="Times New Roman"/>
        </w:rPr>
        <w:t>2</w:t>
      </w:r>
      <w:r w:rsidR="00AF2FA3">
        <w:rPr>
          <w:rFonts w:ascii="Times New Roman" w:hAnsi="Times New Roman" w:cs="Times New Roman"/>
        </w:rPr>
        <w:t>3</w:t>
      </w:r>
      <w:r w:rsidR="00AF1E0A" w:rsidRPr="00AB3AA6">
        <w:rPr>
          <w:rFonts w:ascii="Times New Roman" w:hAnsi="Times New Roman" w:cs="Times New Roman"/>
        </w:rPr>
        <w:t xml:space="preserve"> -</w:t>
      </w:r>
      <w:r w:rsidR="001901B0" w:rsidRPr="00AB3AA6">
        <w:rPr>
          <w:rFonts w:ascii="Times New Roman" w:hAnsi="Times New Roman" w:cs="Times New Roman"/>
        </w:rPr>
        <w:t xml:space="preserve"> 202</w:t>
      </w:r>
      <w:r w:rsidR="00AF2FA3">
        <w:rPr>
          <w:rFonts w:ascii="Times New Roman" w:hAnsi="Times New Roman" w:cs="Times New Roman"/>
        </w:rPr>
        <w:t>4</w:t>
      </w:r>
      <w:r w:rsidR="002A5A46" w:rsidRPr="00AB3AA6">
        <w:rPr>
          <w:rFonts w:ascii="Times New Roman" w:hAnsi="Times New Roman" w:cs="Times New Roman"/>
        </w:rPr>
        <w:t xml:space="preserve"> have been allocated to I</w:t>
      </w:r>
      <w:r w:rsidR="00F1044C" w:rsidRPr="00AB3AA6">
        <w:rPr>
          <w:rFonts w:ascii="Times New Roman" w:hAnsi="Times New Roman" w:cs="Times New Roman"/>
        </w:rPr>
        <w:t>T provision</w:t>
      </w:r>
      <w:r w:rsidR="00115423" w:rsidRPr="00AB3AA6">
        <w:rPr>
          <w:rFonts w:ascii="Times New Roman" w:hAnsi="Times New Roman" w:cs="Times New Roman"/>
        </w:rPr>
        <w:t xml:space="preserve"> (£2,000)</w:t>
      </w:r>
      <w:r w:rsidR="00F1044C" w:rsidRPr="00AB3AA6">
        <w:rPr>
          <w:rFonts w:ascii="Times New Roman" w:hAnsi="Times New Roman" w:cs="Times New Roman"/>
        </w:rPr>
        <w:t xml:space="preserve">, </w:t>
      </w:r>
      <w:r w:rsidR="005176E7" w:rsidRPr="00AB3AA6">
        <w:rPr>
          <w:rFonts w:ascii="Times New Roman" w:hAnsi="Times New Roman" w:cs="Times New Roman"/>
        </w:rPr>
        <w:t>music tuition within</w:t>
      </w:r>
      <w:r w:rsidR="002A5A46" w:rsidRPr="00AB3AA6">
        <w:rPr>
          <w:rFonts w:ascii="Times New Roman" w:hAnsi="Times New Roman" w:cs="Times New Roman"/>
        </w:rPr>
        <w:t xml:space="preserve"> Key Stage</w:t>
      </w:r>
      <w:r w:rsidR="00713500" w:rsidRPr="00AB3AA6">
        <w:rPr>
          <w:rFonts w:ascii="Times New Roman" w:hAnsi="Times New Roman" w:cs="Times New Roman"/>
        </w:rPr>
        <w:t xml:space="preserve"> </w:t>
      </w:r>
      <w:r w:rsidR="002A5A46" w:rsidRPr="00AB3AA6">
        <w:rPr>
          <w:rFonts w:ascii="Times New Roman" w:hAnsi="Times New Roman" w:cs="Times New Roman"/>
        </w:rPr>
        <w:t>Two (</w:t>
      </w:r>
      <w:r w:rsidR="001901B0" w:rsidRPr="00AB3AA6">
        <w:rPr>
          <w:rFonts w:ascii="Times New Roman" w:hAnsi="Times New Roman" w:cs="Times New Roman"/>
        </w:rPr>
        <w:t>£</w:t>
      </w:r>
      <w:r w:rsidR="006C5D74">
        <w:rPr>
          <w:rFonts w:ascii="Times New Roman" w:hAnsi="Times New Roman" w:cs="Times New Roman"/>
        </w:rPr>
        <w:t>1,478</w:t>
      </w:r>
      <w:r w:rsidR="001901B0" w:rsidRPr="00AB3AA6">
        <w:rPr>
          <w:rFonts w:ascii="Times New Roman" w:hAnsi="Times New Roman" w:cs="Times New Roman"/>
        </w:rPr>
        <w:t>)</w:t>
      </w:r>
      <w:r w:rsidR="00713500" w:rsidRPr="00AB3AA6">
        <w:rPr>
          <w:rFonts w:ascii="Times New Roman" w:hAnsi="Times New Roman" w:cs="Times New Roman"/>
        </w:rPr>
        <w:t xml:space="preserve"> including Taiko drumming and steel pans</w:t>
      </w:r>
      <w:r w:rsidR="001901B0" w:rsidRPr="00AB3AA6">
        <w:rPr>
          <w:rFonts w:ascii="Times New Roman" w:hAnsi="Times New Roman" w:cs="Times New Roman"/>
        </w:rPr>
        <w:t>,</w:t>
      </w:r>
      <w:r w:rsidR="00F1044C" w:rsidRPr="00AB3AA6">
        <w:rPr>
          <w:rFonts w:ascii="Times New Roman" w:hAnsi="Times New Roman" w:cs="Times New Roman"/>
        </w:rPr>
        <w:t xml:space="preserve"> </w:t>
      </w:r>
      <w:r w:rsidR="001901B0" w:rsidRPr="00AB3AA6">
        <w:rPr>
          <w:rFonts w:ascii="Times New Roman" w:hAnsi="Times New Roman" w:cs="Times New Roman"/>
        </w:rPr>
        <w:t>and additional swimming provision throughout Key Stage Two (</w:t>
      </w:r>
      <w:r w:rsidR="006C5D74">
        <w:rPr>
          <w:rFonts w:ascii="Times New Roman" w:hAnsi="Times New Roman" w:cs="Times New Roman"/>
        </w:rPr>
        <w:t>Sports Premium Funding</w:t>
      </w:r>
      <w:r w:rsidR="00A1790C" w:rsidRPr="00AB3AA6">
        <w:rPr>
          <w:rFonts w:ascii="Times New Roman" w:hAnsi="Times New Roman" w:cs="Times New Roman"/>
        </w:rPr>
        <w:t>)</w:t>
      </w:r>
      <w:r w:rsidR="002A5A46" w:rsidRPr="00AB3AA6">
        <w:rPr>
          <w:rFonts w:ascii="Times New Roman" w:hAnsi="Times New Roman" w:cs="Times New Roman"/>
        </w:rPr>
        <w:t xml:space="preserve"> </w:t>
      </w:r>
      <w:r w:rsidR="001B6446" w:rsidRPr="00AB3AA6">
        <w:rPr>
          <w:rFonts w:ascii="Times New Roman" w:hAnsi="Times New Roman" w:cs="Times New Roman"/>
        </w:rPr>
        <w:t>to ensure children who have not mastered swimming are able to swim and save lives.</w:t>
      </w:r>
      <w:r w:rsidR="00AF0BD5" w:rsidRPr="00AB3AA6">
        <w:rPr>
          <w:rFonts w:ascii="Times New Roman" w:hAnsi="Times New Roman" w:cs="Times New Roman"/>
        </w:rPr>
        <w:t xml:space="preserve"> </w:t>
      </w:r>
      <w:r w:rsidR="004018BD" w:rsidRPr="00AB3AA6">
        <w:rPr>
          <w:rFonts w:ascii="Times New Roman" w:hAnsi="Times New Roman" w:cs="Times New Roman"/>
        </w:rPr>
        <w:t>Travel to places of worship (</w:t>
      </w:r>
      <w:r w:rsidR="005176E7" w:rsidRPr="00AB3AA6">
        <w:rPr>
          <w:rFonts w:ascii="Times New Roman" w:hAnsi="Times New Roman" w:cs="Times New Roman"/>
        </w:rPr>
        <w:t>£</w:t>
      </w:r>
      <w:r w:rsidR="004018BD" w:rsidRPr="00AB3AA6">
        <w:rPr>
          <w:rFonts w:ascii="Times New Roman" w:hAnsi="Times New Roman" w:cs="Times New Roman"/>
        </w:rPr>
        <w:t>500)</w:t>
      </w:r>
      <w:r w:rsidR="00AF0BD5" w:rsidRPr="00AB3AA6">
        <w:rPr>
          <w:rFonts w:ascii="Times New Roman" w:hAnsi="Times New Roman" w:cs="Times New Roman"/>
        </w:rPr>
        <w:t xml:space="preserve"> </w:t>
      </w:r>
      <w:r w:rsidR="001B6446" w:rsidRPr="00AB3AA6">
        <w:rPr>
          <w:rFonts w:ascii="Times New Roman" w:hAnsi="Times New Roman" w:cs="Times New Roman"/>
        </w:rPr>
        <w:t>to promote R.E. faith knowledge and understanding and PSHE studies</w:t>
      </w:r>
      <w:r w:rsidR="004018BD" w:rsidRPr="00AB3AA6">
        <w:rPr>
          <w:rFonts w:ascii="Times New Roman" w:hAnsi="Times New Roman" w:cs="Times New Roman"/>
        </w:rPr>
        <w:t xml:space="preserve">. </w:t>
      </w:r>
      <w:r w:rsidR="00F1044C" w:rsidRPr="00AB3AA6">
        <w:rPr>
          <w:rFonts w:ascii="Times New Roman" w:hAnsi="Times New Roman" w:cs="Times New Roman"/>
        </w:rPr>
        <w:t xml:space="preserve">Additional funding has also </w:t>
      </w:r>
      <w:r w:rsidRPr="00AB3AA6">
        <w:rPr>
          <w:rFonts w:ascii="Times New Roman" w:hAnsi="Times New Roman" w:cs="Times New Roman"/>
        </w:rPr>
        <w:t xml:space="preserve">again </w:t>
      </w:r>
      <w:r w:rsidR="00F1044C" w:rsidRPr="00AB3AA6">
        <w:rPr>
          <w:rFonts w:ascii="Times New Roman" w:hAnsi="Times New Roman" w:cs="Times New Roman"/>
        </w:rPr>
        <w:t>been utilised to support the employment</w:t>
      </w:r>
      <w:r w:rsidR="005176E7" w:rsidRPr="00AB3AA6">
        <w:rPr>
          <w:rFonts w:ascii="Times New Roman" w:hAnsi="Times New Roman" w:cs="Times New Roman"/>
        </w:rPr>
        <w:t xml:space="preserve"> of t</w:t>
      </w:r>
      <w:r w:rsidR="001B6446" w:rsidRPr="00AB3AA6">
        <w:rPr>
          <w:rFonts w:ascii="Times New Roman" w:hAnsi="Times New Roman" w:cs="Times New Roman"/>
        </w:rPr>
        <w:t>wo</w:t>
      </w:r>
      <w:r w:rsidR="007632AC">
        <w:rPr>
          <w:rFonts w:ascii="Times New Roman" w:hAnsi="Times New Roman" w:cs="Times New Roman"/>
        </w:rPr>
        <w:t>,</w:t>
      </w:r>
      <w:r w:rsidR="005176E7" w:rsidRPr="00AB3AA6">
        <w:rPr>
          <w:rFonts w:ascii="Times New Roman" w:hAnsi="Times New Roman" w:cs="Times New Roman"/>
        </w:rPr>
        <w:t xml:space="preserve"> part funded</w:t>
      </w:r>
      <w:r w:rsidR="00F1044C" w:rsidRPr="00AB3AA6">
        <w:rPr>
          <w:rFonts w:ascii="Times New Roman" w:hAnsi="Times New Roman" w:cs="Times New Roman"/>
        </w:rPr>
        <w:t xml:space="preserve"> HLTA</w:t>
      </w:r>
      <w:r w:rsidR="005176E7" w:rsidRPr="00AB3AA6">
        <w:rPr>
          <w:rFonts w:ascii="Times New Roman" w:hAnsi="Times New Roman" w:cs="Times New Roman"/>
        </w:rPr>
        <w:t>s</w:t>
      </w:r>
      <w:r w:rsidR="001E5D95" w:rsidRPr="00AB3AA6">
        <w:rPr>
          <w:rFonts w:ascii="Times New Roman" w:hAnsi="Times New Roman" w:cs="Times New Roman"/>
        </w:rPr>
        <w:t xml:space="preserve"> (£</w:t>
      </w:r>
      <w:r w:rsidR="006C5D74">
        <w:rPr>
          <w:rFonts w:ascii="Times New Roman" w:hAnsi="Times New Roman" w:cs="Times New Roman"/>
        </w:rPr>
        <w:t>52,767</w:t>
      </w:r>
      <w:r w:rsidR="001E5D95" w:rsidRPr="00AB3AA6">
        <w:rPr>
          <w:rFonts w:ascii="Times New Roman" w:hAnsi="Times New Roman" w:cs="Times New Roman"/>
        </w:rPr>
        <w:t>)</w:t>
      </w:r>
      <w:r w:rsidR="00F1044C" w:rsidRPr="00AB3AA6">
        <w:rPr>
          <w:rFonts w:ascii="Times New Roman" w:hAnsi="Times New Roman" w:cs="Times New Roman"/>
        </w:rPr>
        <w:t xml:space="preserve"> to enable additional targeted support</w:t>
      </w:r>
      <w:r w:rsidR="005176E7" w:rsidRPr="00AB3AA6">
        <w:rPr>
          <w:rFonts w:ascii="Times New Roman" w:hAnsi="Times New Roman" w:cs="Times New Roman"/>
        </w:rPr>
        <w:t xml:space="preserve"> and small group work in English and mathematics</w:t>
      </w:r>
      <w:r w:rsidR="00F1044C" w:rsidRPr="00AB3AA6">
        <w:rPr>
          <w:rFonts w:ascii="Times New Roman" w:hAnsi="Times New Roman" w:cs="Times New Roman"/>
        </w:rPr>
        <w:t>.</w:t>
      </w:r>
      <w:r w:rsidR="00115423" w:rsidRPr="00AB3AA6">
        <w:rPr>
          <w:rFonts w:ascii="Times New Roman" w:hAnsi="Times New Roman" w:cs="Times New Roman"/>
        </w:rPr>
        <w:t xml:space="preserve"> </w:t>
      </w:r>
    </w:p>
    <w:p w:rsidR="004027B9" w:rsidRPr="00AB3AA6" w:rsidRDefault="004027B9" w:rsidP="00F1044C">
      <w:pPr>
        <w:jc w:val="both"/>
        <w:rPr>
          <w:rFonts w:ascii="Times New Roman" w:hAnsi="Times New Roman" w:cs="Times New Roman"/>
        </w:rPr>
      </w:pPr>
      <w:r w:rsidRPr="00AB3AA6">
        <w:rPr>
          <w:rFonts w:ascii="Times New Roman" w:hAnsi="Times New Roman" w:cs="Times New Roman"/>
        </w:rPr>
        <w:t xml:space="preserve">Additional physical education experiences will </w:t>
      </w:r>
      <w:r w:rsidR="006C5D74">
        <w:rPr>
          <w:rFonts w:ascii="Times New Roman" w:hAnsi="Times New Roman" w:cs="Times New Roman"/>
        </w:rPr>
        <w:t xml:space="preserve">also </w:t>
      </w:r>
      <w:bookmarkStart w:id="0" w:name="_GoBack"/>
      <w:bookmarkEnd w:id="0"/>
      <w:r w:rsidRPr="00AB3AA6">
        <w:rPr>
          <w:rFonts w:ascii="Times New Roman" w:hAnsi="Times New Roman" w:cs="Times New Roman"/>
        </w:rPr>
        <w:t>be funded through the School Sports Grant.</w:t>
      </w:r>
    </w:p>
    <w:p w:rsidR="00F1044C" w:rsidRDefault="00115423" w:rsidP="00F1044C">
      <w:pPr>
        <w:jc w:val="both"/>
        <w:rPr>
          <w:rFonts w:ascii="Times New Roman" w:hAnsi="Times New Roman" w:cs="Times New Roman"/>
        </w:rPr>
      </w:pPr>
      <w:r>
        <w:rPr>
          <w:rFonts w:ascii="Times New Roman" w:hAnsi="Times New Roman" w:cs="Times New Roman"/>
        </w:rPr>
        <w:t>School Clubs</w:t>
      </w:r>
      <w:r w:rsidR="00AF0BD5">
        <w:rPr>
          <w:rFonts w:ascii="Times New Roman" w:hAnsi="Times New Roman" w:cs="Times New Roman"/>
        </w:rPr>
        <w:t xml:space="preserve"> will be</w:t>
      </w:r>
      <w:r>
        <w:rPr>
          <w:rFonts w:ascii="Times New Roman" w:hAnsi="Times New Roman" w:cs="Times New Roman"/>
        </w:rPr>
        <w:t xml:space="preserve"> organised </w:t>
      </w:r>
      <w:r w:rsidR="00AF0BD5">
        <w:rPr>
          <w:rFonts w:ascii="Times New Roman" w:hAnsi="Times New Roman" w:cs="Times New Roman"/>
        </w:rPr>
        <w:t xml:space="preserve">when possible </w:t>
      </w:r>
      <w:r>
        <w:rPr>
          <w:rFonts w:ascii="Times New Roman" w:hAnsi="Times New Roman" w:cs="Times New Roman"/>
        </w:rPr>
        <w:t xml:space="preserve">at lunchtimes and afterschool and those </w:t>
      </w:r>
      <w:r w:rsidR="00150CB5">
        <w:rPr>
          <w:rFonts w:ascii="Times New Roman" w:hAnsi="Times New Roman" w:cs="Times New Roman"/>
        </w:rPr>
        <w:t>provid</w:t>
      </w:r>
      <w:r>
        <w:rPr>
          <w:rFonts w:ascii="Times New Roman" w:hAnsi="Times New Roman" w:cs="Times New Roman"/>
        </w:rPr>
        <w:t xml:space="preserve">ed by the school are free to all pupils to ensure cost is not a barrier to attendance. Clubs </w:t>
      </w:r>
      <w:r w:rsidR="00C0433C">
        <w:rPr>
          <w:rFonts w:ascii="Times New Roman" w:hAnsi="Times New Roman" w:cs="Times New Roman"/>
        </w:rPr>
        <w:t>will</w:t>
      </w:r>
      <w:r>
        <w:rPr>
          <w:rFonts w:ascii="Times New Roman" w:hAnsi="Times New Roman" w:cs="Times New Roman"/>
        </w:rPr>
        <w:t xml:space="preserve"> also </w:t>
      </w:r>
      <w:r w:rsidR="00150CB5">
        <w:rPr>
          <w:rFonts w:ascii="Times New Roman" w:hAnsi="Times New Roman" w:cs="Times New Roman"/>
        </w:rPr>
        <w:t>be</w:t>
      </w:r>
      <w:r w:rsidR="00C0433C">
        <w:rPr>
          <w:rFonts w:ascii="Times New Roman" w:hAnsi="Times New Roman" w:cs="Times New Roman"/>
        </w:rPr>
        <w:t xml:space="preserve"> </w:t>
      </w:r>
      <w:r>
        <w:rPr>
          <w:rFonts w:ascii="Times New Roman" w:hAnsi="Times New Roman" w:cs="Times New Roman"/>
        </w:rPr>
        <w:t>organised at lunchtimes to enable those who travel to school utilising free school transport are able to attend without the added transport cost to parents/guardians.</w:t>
      </w:r>
    </w:p>
    <w:p w:rsidR="00F1044C" w:rsidRDefault="00F1044C" w:rsidP="00F1044C">
      <w:pPr>
        <w:jc w:val="both"/>
        <w:rPr>
          <w:rFonts w:ascii="Times New Roman" w:hAnsi="Times New Roman" w:cs="Times New Roman"/>
        </w:rPr>
      </w:pPr>
      <w:r>
        <w:rPr>
          <w:rFonts w:ascii="Times New Roman" w:hAnsi="Times New Roman" w:cs="Times New Roman"/>
        </w:rPr>
        <w:t xml:space="preserve">The curriculum enrichment and targeted support will </w:t>
      </w:r>
      <w:r w:rsidR="00712F7C">
        <w:rPr>
          <w:rFonts w:ascii="Times New Roman" w:hAnsi="Times New Roman" w:cs="Times New Roman"/>
        </w:rPr>
        <w:t xml:space="preserve">continue to </w:t>
      </w:r>
      <w:r>
        <w:rPr>
          <w:rFonts w:ascii="Times New Roman" w:hAnsi="Times New Roman" w:cs="Times New Roman"/>
        </w:rPr>
        <w:t xml:space="preserve">be </w:t>
      </w:r>
      <w:r w:rsidR="001D0071">
        <w:rPr>
          <w:rFonts w:ascii="Times New Roman" w:hAnsi="Times New Roman" w:cs="Times New Roman"/>
        </w:rPr>
        <w:t xml:space="preserve">assessed in line with the Pupil Premium Policy’s success criteria and will be reported to the Governing Body and parent/carers at the end of the academic year and will be reviewed prior to the setting </w:t>
      </w:r>
      <w:r w:rsidR="00A1790C">
        <w:rPr>
          <w:rFonts w:ascii="Times New Roman" w:hAnsi="Times New Roman" w:cs="Times New Roman"/>
        </w:rPr>
        <w:t>of the next budget in March 202</w:t>
      </w:r>
      <w:r w:rsidR="004D1815">
        <w:rPr>
          <w:rFonts w:ascii="Times New Roman" w:hAnsi="Times New Roman" w:cs="Times New Roman"/>
        </w:rPr>
        <w:t>4</w:t>
      </w:r>
      <w:r w:rsidR="001D0071">
        <w:rPr>
          <w:rFonts w:ascii="Times New Roman" w:hAnsi="Times New Roman" w:cs="Times New Roman"/>
        </w:rPr>
        <w:t>.</w:t>
      </w:r>
    </w:p>
    <w:p w:rsidR="008F25D0" w:rsidRDefault="008F25D0" w:rsidP="00F1044C">
      <w:pPr>
        <w:jc w:val="both"/>
        <w:rPr>
          <w:rFonts w:ascii="Times New Roman" w:hAnsi="Times New Roman" w:cs="Times New Roman"/>
        </w:rPr>
      </w:pPr>
    </w:p>
    <w:p w:rsidR="008F25D0" w:rsidRDefault="008F25D0" w:rsidP="008F25D0">
      <w:pPr>
        <w:jc w:val="right"/>
        <w:rPr>
          <w:rFonts w:ascii="Times New Roman" w:hAnsi="Times New Roman" w:cs="Times New Roman"/>
        </w:rPr>
      </w:pPr>
      <w:r>
        <w:rPr>
          <w:rFonts w:ascii="Times New Roman" w:hAnsi="Times New Roman" w:cs="Times New Roman"/>
        </w:rPr>
        <w:t>J. Cornelius</w:t>
      </w:r>
    </w:p>
    <w:p w:rsidR="008F25D0" w:rsidRDefault="004D1815" w:rsidP="008F25D0">
      <w:pPr>
        <w:jc w:val="right"/>
        <w:rPr>
          <w:rFonts w:ascii="Times New Roman" w:hAnsi="Times New Roman" w:cs="Times New Roman"/>
        </w:rPr>
      </w:pPr>
      <w:r>
        <w:rPr>
          <w:rFonts w:ascii="Times New Roman" w:hAnsi="Times New Roman" w:cs="Times New Roman"/>
        </w:rPr>
        <w:t>1</w:t>
      </w:r>
      <w:r w:rsidR="00150CB5">
        <w:rPr>
          <w:rFonts w:ascii="Times New Roman" w:hAnsi="Times New Roman" w:cs="Times New Roman"/>
        </w:rPr>
        <w:t>7</w:t>
      </w:r>
      <w:r w:rsidR="00A1790C">
        <w:rPr>
          <w:rFonts w:ascii="Times New Roman" w:hAnsi="Times New Roman" w:cs="Times New Roman"/>
        </w:rPr>
        <w:t>.</w:t>
      </w:r>
      <w:r w:rsidR="00AF0BD5">
        <w:rPr>
          <w:rFonts w:ascii="Times New Roman" w:hAnsi="Times New Roman" w:cs="Times New Roman"/>
        </w:rPr>
        <w:t>0</w:t>
      </w:r>
      <w:r>
        <w:rPr>
          <w:rFonts w:ascii="Times New Roman" w:hAnsi="Times New Roman" w:cs="Times New Roman"/>
        </w:rPr>
        <w:t>7</w:t>
      </w:r>
      <w:r w:rsidR="00A1790C">
        <w:rPr>
          <w:rFonts w:ascii="Times New Roman" w:hAnsi="Times New Roman" w:cs="Times New Roman"/>
        </w:rPr>
        <w:t>.20</w:t>
      </w:r>
      <w:r w:rsidR="00AF0BD5">
        <w:rPr>
          <w:rFonts w:ascii="Times New Roman" w:hAnsi="Times New Roman" w:cs="Times New Roman"/>
        </w:rPr>
        <w:t>2</w:t>
      </w:r>
      <w:r>
        <w:rPr>
          <w:rFonts w:ascii="Times New Roman" w:hAnsi="Times New Roman" w:cs="Times New Roman"/>
        </w:rPr>
        <w:t>3</w:t>
      </w:r>
    </w:p>
    <w:sectPr w:rsidR="008F2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4AB8"/>
    <w:multiLevelType w:val="hybridMultilevel"/>
    <w:tmpl w:val="936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14E95"/>
    <w:multiLevelType w:val="hybridMultilevel"/>
    <w:tmpl w:val="D15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9556E"/>
    <w:multiLevelType w:val="hybridMultilevel"/>
    <w:tmpl w:val="273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52F8D"/>
    <w:multiLevelType w:val="hybridMultilevel"/>
    <w:tmpl w:val="072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4C"/>
    <w:rsid w:val="00030BDE"/>
    <w:rsid w:val="000459FE"/>
    <w:rsid w:val="000476EC"/>
    <w:rsid w:val="0005556C"/>
    <w:rsid w:val="00115423"/>
    <w:rsid w:val="00136386"/>
    <w:rsid w:val="00150CB5"/>
    <w:rsid w:val="00167D41"/>
    <w:rsid w:val="001901B0"/>
    <w:rsid w:val="001A5982"/>
    <w:rsid w:val="001B6446"/>
    <w:rsid w:val="001D0071"/>
    <w:rsid w:val="001E5D95"/>
    <w:rsid w:val="00256C15"/>
    <w:rsid w:val="002679C2"/>
    <w:rsid w:val="002A3841"/>
    <w:rsid w:val="002A5A46"/>
    <w:rsid w:val="00300F6E"/>
    <w:rsid w:val="00303BAA"/>
    <w:rsid w:val="003638CB"/>
    <w:rsid w:val="00380949"/>
    <w:rsid w:val="0038235A"/>
    <w:rsid w:val="004018BD"/>
    <w:rsid w:val="004027B9"/>
    <w:rsid w:val="00417772"/>
    <w:rsid w:val="00437FCE"/>
    <w:rsid w:val="004C25ED"/>
    <w:rsid w:val="004D1815"/>
    <w:rsid w:val="005176E7"/>
    <w:rsid w:val="005448A8"/>
    <w:rsid w:val="005739D9"/>
    <w:rsid w:val="005876E6"/>
    <w:rsid w:val="005F09EF"/>
    <w:rsid w:val="006228E4"/>
    <w:rsid w:val="00657346"/>
    <w:rsid w:val="006C5D74"/>
    <w:rsid w:val="00712F7C"/>
    <w:rsid w:val="00713500"/>
    <w:rsid w:val="007632AC"/>
    <w:rsid w:val="007A34D8"/>
    <w:rsid w:val="007D105B"/>
    <w:rsid w:val="007D479A"/>
    <w:rsid w:val="007D772C"/>
    <w:rsid w:val="00820044"/>
    <w:rsid w:val="008F25D0"/>
    <w:rsid w:val="00911637"/>
    <w:rsid w:val="00926410"/>
    <w:rsid w:val="009309E4"/>
    <w:rsid w:val="00936D94"/>
    <w:rsid w:val="00956211"/>
    <w:rsid w:val="00983E9F"/>
    <w:rsid w:val="00993236"/>
    <w:rsid w:val="009D1B44"/>
    <w:rsid w:val="00A1790C"/>
    <w:rsid w:val="00A17C9C"/>
    <w:rsid w:val="00A56A57"/>
    <w:rsid w:val="00AB3AA6"/>
    <w:rsid w:val="00AF0BD5"/>
    <w:rsid w:val="00AF1E0A"/>
    <w:rsid w:val="00AF2FA3"/>
    <w:rsid w:val="00BE59D4"/>
    <w:rsid w:val="00BF01F5"/>
    <w:rsid w:val="00BF3C30"/>
    <w:rsid w:val="00BF4E64"/>
    <w:rsid w:val="00C0433C"/>
    <w:rsid w:val="00C90D71"/>
    <w:rsid w:val="00CB38DC"/>
    <w:rsid w:val="00D91CAF"/>
    <w:rsid w:val="00DA48BA"/>
    <w:rsid w:val="00DF0C24"/>
    <w:rsid w:val="00DF227D"/>
    <w:rsid w:val="00E23237"/>
    <w:rsid w:val="00EA546B"/>
    <w:rsid w:val="00EC4BC9"/>
    <w:rsid w:val="00EC4F45"/>
    <w:rsid w:val="00F1044C"/>
    <w:rsid w:val="00F4324A"/>
    <w:rsid w:val="00F91536"/>
    <w:rsid w:val="00FA110F"/>
    <w:rsid w:val="00FB50A8"/>
    <w:rsid w:val="00FC76B9"/>
    <w:rsid w:val="00FD39B0"/>
    <w:rsid w:val="00FE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7130"/>
  <w15:docId w15:val="{2658E869-2504-4B0E-B1A0-1A160C6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23"/>
    <w:pPr>
      <w:ind w:left="720"/>
      <w:contextualSpacing/>
    </w:pPr>
  </w:style>
  <w:style w:type="paragraph" w:styleId="NoSpacing">
    <w:name w:val="No Spacing"/>
    <w:uiPriority w:val="1"/>
    <w:qFormat/>
    <w:rsid w:val="00115423"/>
    <w:pPr>
      <w:spacing w:after="0" w:line="240" w:lineRule="auto"/>
    </w:pPr>
  </w:style>
  <w:style w:type="table" w:styleId="TableGrid">
    <w:name w:val="Table Grid"/>
    <w:basedOn w:val="TableNormal"/>
    <w:uiPriority w:val="39"/>
    <w:rsid w:val="0091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6</cp:revision>
  <dcterms:created xsi:type="dcterms:W3CDTF">2023-07-17T11:19:00Z</dcterms:created>
  <dcterms:modified xsi:type="dcterms:W3CDTF">2023-07-17T13:14:00Z</dcterms:modified>
</cp:coreProperties>
</file>